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140A25">
        <w:rPr>
          <w:rFonts w:ascii="Sylfaen" w:hAnsi="Sylfaen"/>
          <w:b/>
          <w:sz w:val="28"/>
          <w:lang w:val="ka-GE"/>
        </w:rPr>
        <w:t>მთავრობის</w:t>
      </w:r>
      <w:r w:rsidR="005A44F5" w:rsidRPr="00140A25">
        <w:rPr>
          <w:rFonts w:ascii="Sylfaen" w:hAnsi="Sylfaen"/>
          <w:b/>
          <w:sz w:val="28"/>
          <w:lang w:val="ka-GE"/>
        </w:rPr>
        <w:t xml:space="preserve"> ვალი</w:t>
      </w:r>
    </w:p>
    <w:p w:rsidR="009B63F3" w:rsidRPr="00671B34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140A25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140A25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0A7B97" w:rsidRPr="00140A25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F574B9">
        <w:rPr>
          <w:rFonts w:ascii="Sylfaen" w:hAnsi="Sylfaen" w:cs="Sylfaen"/>
          <w:szCs w:val="21"/>
          <w:shd w:val="clear" w:color="auto" w:fill="FFFFFF"/>
        </w:rPr>
        <w:t>1</w:t>
      </w:r>
      <w:r w:rsidR="0043462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D018B4">
        <w:rPr>
          <w:rFonts w:ascii="Sylfaen" w:hAnsi="Sylfaen" w:cs="Sylfaen"/>
          <w:szCs w:val="21"/>
          <w:shd w:val="clear" w:color="auto" w:fill="FFFFFF"/>
        </w:rPr>
        <w:t>30</w:t>
      </w:r>
      <w:r w:rsidR="0022036E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82286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22036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E82286">
        <w:rPr>
          <w:rFonts w:ascii="Sylfaen" w:hAnsi="Sylfaen" w:cs="Sylfaen"/>
          <w:szCs w:val="21"/>
          <w:shd w:val="clear" w:color="auto" w:fill="FFFFFF"/>
          <w:lang w:val="ka-GE"/>
        </w:rPr>
        <w:t>28</w:t>
      </w:r>
      <w:r w:rsidR="00393058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E82286">
        <w:rPr>
          <w:rFonts w:ascii="Sylfaen" w:hAnsi="Sylfaen" w:cs="Sylfaen"/>
          <w:szCs w:val="21"/>
          <w:shd w:val="clear" w:color="auto" w:fill="FFFFFF"/>
          <w:lang w:val="ka-GE"/>
        </w:rPr>
        <w:t>930</w:t>
      </w:r>
      <w:r w:rsidR="00393058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82286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311D8A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140A25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140A25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140A25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„სახელმწიფო ვალის შესახებ“ საქართველოს კანონით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გათვალისწინებულ სახელმწიფო ვალი, გარდა საქართველოს ეროვნული ბანკის მიერ აღებული ვალდებულებებისა - </w:t>
      </w:r>
      <w:r w:rsidR="00E82286">
        <w:rPr>
          <w:rFonts w:ascii="Sylfaen" w:hAnsi="Sylfaen"/>
          <w:szCs w:val="21"/>
          <w:shd w:val="clear" w:color="auto" w:fill="FFFFFF"/>
        </w:rPr>
        <w:t>28</w:t>
      </w:r>
      <w:r w:rsidR="005F3FA8">
        <w:rPr>
          <w:rFonts w:ascii="Sylfaen" w:hAnsi="Sylfaen"/>
          <w:szCs w:val="21"/>
          <w:shd w:val="clear" w:color="auto" w:fill="FFFFFF"/>
        </w:rPr>
        <w:t>,</w:t>
      </w:r>
      <w:r w:rsidR="00E82286">
        <w:rPr>
          <w:rFonts w:ascii="Sylfaen" w:hAnsi="Sylfaen"/>
          <w:szCs w:val="21"/>
          <w:shd w:val="clear" w:color="auto" w:fill="FFFFFF"/>
        </w:rPr>
        <w:t>891</w:t>
      </w:r>
      <w:r w:rsidR="005F3FA8">
        <w:rPr>
          <w:rFonts w:ascii="Sylfaen" w:hAnsi="Sylfaen"/>
          <w:szCs w:val="21"/>
          <w:shd w:val="clear" w:color="auto" w:fill="FFFFFF"/>
        </w:rPr>
        <w:t>.</w:t>
      </w:r>
      <w:r w:rsidR="00E82286">
        <w:rPr>
          <w:rFonts w:ascii="Sylfaen" w:hAnsi="Sylfaen"/>
          <w:szCs w:val="21"/>
          <w:shd w:val="clear" w:color="auto" w:fill="FFFFFF"/>
          <w:lang w:val="ka-GE"/>
        </w:rPr>
        <w:t>8</w:t>
      </w:r>
      <w:r w:rsidR="008E6116" w:rsidRPr="00671B3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>მლნ ლარს</w:t>
      </w:r>
      <w:r w:rsidR="00396821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E82286">
        <w:rPr>
          <w:rFonts w:ascii="Sylfaen" w:hAnsi="Sylfaen"/>
          <w:szCs w:val="21"/>
          <w:shd w:val="clear" w:color="auto" w:fill="FFFFFF"/>
        </w:rPr>
        <w:t>38</w:t>
      </w:r>
      <w:r w:rsidR="005F3FA8">
        <w:rPr>
          <w:rFonts w:ascii="Sylfaen" w:hAnsi="Sylfaen"/>
          <w:szCs w:val="21"/>
          <w:shd w:val="clear" w:color="auto" w:fill="FFFFFF"/>
        </w:rPr>
        <w:t>.</w:t>
      </w:r>
      <w:r w:rsidR="00E82286">
        <w:rPr>
          <w:rFonts w:ascii="Sylfaen" w:hAnsi="Sylfaen"/>
          <w:szCs w:val="21"/>
          <w:shd w:val="clear" w:color="auto" w:fill="FFFFFF"/>
          <w:lang w:val="ka-GE"/>
        </w:rPr>
        <w:t>8</w:t>
      </w:r>
      <w:r w:rsidR="00914D8C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6F4202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71B34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23</w:t>
      </w:r>
      <w:r w:rsidR="00344AAF">
        <w:rPr>
          <w:rFonts w:ascii="Sylfaen" w:hAnsi="Sylfaen"/>
          <w:szCs w:val="21"/>
          <w:shd w:val="clear" w:color="auto" w:fill="FFFFFF"/>
        </w:rPr>
        <w:t>,</w:t>
      </w:r>
      <w:r w:rsidR="00E82286">
        <w:rPr>
          <w:rFonts w:ascii="Sylfaen" w:hAnsi="Sylfaen"/>
          <w:szCs w:val="21"/>
          <w:shd w:val="clear" w:color="auto" w:fill="FFFFFF"/>
        </w:rPr>
        <w:t>423</w:t>
      </w:r>
      <w:r w:rsidR="00344AAF">
        <w:rPr>
          <w:rFonts w:ascii="Sylfaen" w:hAnsi="Sylfaen"/>
          <w:szCs w:val="21"/>
          <w:shd w:val="clear" w:color="auto" w:fill="FFFFFF"/>
        </w:rPr>
        <w:t>.5</w:t>
      </w:r>
      <w:r w:rsidR="00784855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671B34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671B34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344AAF">
        <w:rPr>
          <w:rFonts w:ascii="Sylfaen" w:hAnsi="Sylfaen"/>
          <w:szCs w:val="21"/>
          <w:shd w:val="clear" w:color="auto" w:fill="FFFFFF"/>
        </w:rPr>
        <w:t>8</w:t>
      </w:r>
      <w:r w:rsidR="00E82286">
        <w:rPr>
          <w:rFonts w:ascii="Sylfaen" w:hAnsi="Sylfaen"/>
          <w:szCs w:val="21"/>
          <w:shd w:val="clear" w:color="auto" w:fill="FFFFFF"/>
          <w:lang w:val="ka-GE"/>
        </w:rPr>
        <w:t>1</w:t>
      </w:r>
      <w:r w:rsidR="006F4202" w:rsidRPr="00671B34">
        <w:rPr>
          <w:rFonts w:ascii="Sylfaen" w:hAnsi="Sylfaen"/>
          <w:szCs w:val="21"/>
          <w:shd w:val="clear" w:color="auto" w:fill="FFFFFF"/>
        </w:rPr>
        <w:t>%-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671B34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</w:t>
      </w:r>
      <w:r w:rsidR="006F4202" w:rsidRPr="00A411AE">
        <w:rPr>
          <w:rFonts w:ascii="Sylfaen" w:hAnsi="Sylfaen"/>
          <w:szCs w:val="21"/>
          <w:shd w:val="clear" w:color="auto" w:fill="FFFFFF"/>
        </w:rPr>
        <w:t xml:space="preserve">შეადგენს </w:t>
      </w:r>
      <w:r w:rsidR="00F16F47" w:rsidRPr="00A411AE">
        <w:rPr>
          <w:rFonts w:ascii="Sylfaen" w:hAnsi="Sylfaen"/>
          <w:szCs w:val="21"/>
          <w:shd w:val="clear" w:color="auto" w:fill="FFFFFF"/>
          <w:lang w:val="ka-GE"/>
        </w:rPr>
        <w:t>2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0</w:t>
      </w:r>
      <w:r w:rsidR="00F16F47" w:rsidRPr="00A411AE">
        <w:rPr>
          <w:rFonts w:ascii="Sylfaen" w:hAnsi="Sylfaen"/>
          <w:szCs w:val="21"/>
          <w:shd w:val="clear" w:color="auto" w:fill="FFFFFF"/>
          <w:lang w:val="ka-GE"/>
        </w:rPr>
        <w:t>.</w:t>
      </w:r>
      <w:r w:rsidR="00E82286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31ADF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</w:rPr>
        <w:t>წელს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</w:t>
      </w:r>
      <w:r w:rsidR="006F4202" w:rsidRPr="00721C98">
        <w:rPr>
          <w:rFonts w:ascii="Sylfaen" w:hAnsi="Sylfaen"/>
          <w:szCs w:val="21"/>
          <w:shd w:val="clear" w:color="auto" w:fill="FFFFFF"/>
          <w:lang w:val="ka-GE"/>
        </w:rPr>
        <w:t xml:space="preserve">დაახლოებით </w:t>
      </w:r>
      <w:r w:rsidR="00DE4001" w:rsidRPr="00721C98">
        <w:rPr>
          <w:rFonts w:ascii="Sylfaen" w:hAnsi="Sylfaen"/>
          <w:szCs w:val="21"/>
          <w:shd w:val="clear" w:color="auto" w:fill="FFFFFF"/>
        </w:rPr>
        <w:t xml:space="preserve"> 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9</w:t>
      </w:r>
      <w:r w:rsidR="00431ADF" w:rsidRPr="00721C9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0A5C1D">
        <w:rPr>
          <w:rFonts w:ascii="Sylfaen" w:hAnsi="Sylfaen"/>
          <w:szCs w:val="21"/>
          <w:shd w:val="clear" w:color="auto" w:fill="FFFFFF"/>
          <w:lang w:val="ka-GE"/>
        </w:rPr>
        <w:t>1</w:t>
      </w:r>
      <w:r w:rsidR="00C126E1" w:rsidRPr="00671B3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671B34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671B3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0A5C1D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A7B97" w:rsidRPr="00671B3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82286">
        <w:rPr>
          <w:rFonts w:ascii="Sylfaen" w:hAnsi="Sylfaen" w:cs="Sylfaen"/>
          <w:szCs w:val="21"/>
          <w:shd w:val="clear" w:color="auto" w:fill="FFFFFF"/>
          <w:lang w:val="ka-GE"/>
        </w:rPr>
        <w:t>97</w:t>
      </w:r>
      <w:r w:rsidR="006F4202" w:rsidRPr="00671B34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086670" w:rsidRPr="00086670" w:rsidRDefault="00086670" w:rsidP="00D62E87">
      <w:pPr>
        <w:spacing w:line="240" w:lineRule="auto"/>
        <w:ind w:firstLine="720"/>
        <w:jc w:val="both"/>
        <w:rPr>
          <w:rFonts w:ascii="Sylfaen" w:hAnsi="Sylfaen" w:cs="Sylfaen"/>
          <w:sz w:val="16"/>
          <w:szCs w:val="16"/>
          <w:shd w:val="clear" w:color="auto" w:fill="FFFFFF"/>
          <w:lang w:val="ka-GE"/>
        </w:rPr>
      </w:pPr>
    </w:p>
    <w:p w:rsidR="006F4202" w:rsidRPr="00140A25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140A25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3B39" w:rsidRPr="00A33B48" w:rsidRDefault="000C3B3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0C3B39" w:rsidRPr="00A411AE" w:rsidRDefault="000C3B3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0.97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0C3B39" w:rsidRPr="00A411AE" w:rsidRDefault="000C3B3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0C3B39" w:rsidRPr="00DE4001" w:rsidRDefault="000C3B3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0C3B39" w:rsidRPr="00A33B48" w:rsidRDefault="000C3B3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0C3B39" w:rsidRPr="00A411AE" w:rsidRDefault="000C3B3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0.97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0C3B39" w:rsidRPr="00A411AE" w:rsidRDefault="000C3B3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0C3B39" w:rsidRPr="00DE4001" w:rsidRDefault="000C3B3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140A25">
        <w:rPr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140A25">
        <w:rPr>
          <w:rFonts w:ascii="Sylfaen" w:hAnsi="Sylfaen"/>
          <w:b/>
          <w:szCs w:val="18"/>
          <w:shd w:val="clear" w:color="auto" w:fill="FFFFFF"/>
          <w:lang w:val="ka-GE"/>
        </w:rPr>
        <w:t>2</w:t>
      </w:r>
      <w:r w:rsidR="00344AAF">
        <w:rPr>
          <w:rFonts w:ascii="Sylfaen" w:hAnsi="Sylfaen"/>
          <w:b/>
          <w:szCs w:val="18"/>
          <w:shd w:val="clear" w:color="auto" w:fill="FFFFFF"/>
        </w:rPr>
        <w:t>1</w:t>
      </w:r>
      <w:r w:rsidR="008D1F2B" w:rsidRPr="00140A25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0A5C1D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F16F47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361037">
        <w:rPr>
          <w:rFonts w:ascii="Sylfaen" w:hAnsi="Sylfaen" w:cs="Sylfaen"/>
          <w:b/>
          <w:szCs w:val="21"/>
          <w:shd w:val="clear" w:color="auto" w:fill="FFFFFF"/>
          <w:lang w:val="ka-GE"/>
        </w:rPr>
        <w:t>სექტემბრის</w:t>
      </w:r>
      <w:r w:rsidR="00F16F47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140A25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140A25">
        <w:rPr>
          <w:rFonts w:ascii="Sylfaen" w:hAnsi="Sylfaen"/>
          <w:lang w:val="ka-GE"/>
        </w:rPr>
        <w:t xml:space="preserve"> </w:t>
      </w:r>
    </w:p>
    <w:p w:rsidR="006F4202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140A25">
        <w:rPr>
          <w:rFonts w:ascii="Sylfaen" w:hAnsi="Sylfaen" w:cs="Sylfaen"/>
          <w:szCs w:val="21"/>
          <w:shd w:val="clear" w:color="auto" w:fill="FFFFFF"/>
        </w:rPr>
        <w:t>2</w:t>
      </w:r>
      <w:r w:rsidR="00C10A59">
        <w:rPr>
          <w:rFonts w:ascii="Sylfaen" w:hAnsi="Sylfaen" w:cs="Sylfaen"/>
          <w:szCs w:val="21"/>
          <w:shd w:val="clear" w:color="auto" w:fill="FFFFFF"/>
        </w:rPr>
        <w:t>1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0A5C1D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F16F47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82286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F16F47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140A25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პორტფელის </w:t>
      </w:r>
      <w:r w:rsidR="00B7447C" w:rsidRPr="00140A25">
        <w:rPr>
          <w:rFonts w:ascii="Sylfaen" w:hAnsi="Sylfaen" w:cs="Sylfaen"/>
          <w:szCs w:val="21"/>
          <w:shd w:val="clear" w:color="auto" w:fill="FFFFFF"/>
        </w:rPr>
        <w:t>5</w:t>
      </w:r>
      <w:r w:rsidR="00E82286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ეს გარემოება ხელს უწყობს საქართველოს 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140A25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  <w:r w:rsidR="006F4202" w:rsidRPr="00D23CC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საგარეო ვალის </w:t>
      </w:r>
      <w:r w:rsidR="00711CE6" w:rsidRPr="00D23CC0">
        <w:rPr>
          <w:rFonts w:ascii="Sylfaen" w:hAnsi="Sylfaen" w:cs="Sylfaen"/>
          <w:szCs w:val="21"/>
          <w:shd w:val="clear" w:color="auto" w:fill="FFFFFF"/>
        </w:rPr>
        <w:t>2</w:t>
      </w:r>
      <w:r w:rsidR="00E82286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6F4202" w:rsidRPr="00D23CC0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D23CC0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D23CC0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</w:t>
      </w:r>
      <w:r w:rsidR="006F420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086670" w:rsidRPr="00140A25" w:rsidRDefault="00086670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B7509F" w:rsidRPr="00140A25" w:rsidRDefault="00D37A24" w:rsidP="006A4593">
      <w:pPr>
        <w:tabs>
          <w:tab w:val="left" w:pos="360"/>
        </w:tabs>
        <w:spacing w:line="240" w:lineRule="auto"/>
        <w:ind w:left="360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3743325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CE6">
        <w:rPr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1143000</wp:posOffset>
            </wp:positionH>
            <wp:positionV relativeFrom="paragraph">
              <wp:posOffset>226695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140A25">
        <w:rPr>
          <w:rFonts w:ascii="Sylfaen" w:hAnsi="Sylfaen"/>
          <w:lang w:val="ka-GE"/>
        </w:rPr>
        <w:t xml:space="preserve">  </w:t>
      </w:r>
    </w:p>
    <w:p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140A25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Pr="00140A25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140A25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140A25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140A25">
        <w:rPr>
          <w:rFonts w:ascii="Sylfaen" w:hAnsi="Sylfaen"/>
          <w:b/>
          <w:lang w:val="ka-GE"/>
        </w:rPr>
        <w:t>20</w:t>
      </w:r>
      <w:r w:rsidR="00813A2C">
        <w:rPr>
          <w:rFonts w:ascii="Sylfaen" w:hAnsi="Sylfaen"/>
          <w:b/>
        </w:rPr>
        <w:t>21</w:t>
      </w:r>
      <w:r w:rsidR="00E46C45" w:rsidRPr="00140A25">
        <w:rPr>
          <w:rFonts w:ascii="Sylfaen" w:hAnsi="Sylfaen"/>
          <w:b/>
          <w:lang w:val="ka-GE"/>
        </w:rPr>
        <w:t xml:space="preserve"> წლის </w:t>
      </w:r>
      <w:r w:rsidR="000A5C1D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1757D3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82286">
        <w:rPr>
          <w:rFonts w:ascii="Sylfaen" w:hAnsi="Sylfaen" w:cs="Sylfaen"/>
          <w:b/>
          <w:szCs w:val="21"/>
          <w:shd w:val="clear" w:color="auto" w:fill="FFFFFF"/>
          <w:lang w:val="ka-GE"/>
        </w:rPr>
        <w:t>სექტემბრის</w:t>
      </w:r>
      <w:r w:rsidR="00EF6AB2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EF6AB2" w:rsidRPr="00140A25">
        <w:rPr>
          <w:rFonts w:ascii="Sylfaen" w:hAnsi="Sylfaen"/>
          <w:b/>
          <w:lang w:val="ka-GE"/>
        </w:rPr>
        <w:t xml:space="preserve"> </w:t>
      </w:r>
      <w:r w:rsidR="00071D1D" w:rsidRPr="00140A25">
        <w:rPr>
          <w:rFonts w:ascii="Sylfaen" w:hAnsi="Sylfaen"/>
          <w:b/>
          <w:lang w:val="ka-GE"/>
        </w:rPr>
        <w:t>მდგომარეობით</w:t>
      </w:r>
    </w:p>
    <w:p w:rsidR="00C624FF" w:rsidRDefault="00C624FF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887"/>
        <w:gridCol w:w="1259"/>
        <w:gridCol w:w="1214"/>
        <w:gridCol w:w="1350"/>
        <w:gridCol w:w="1160"/>
        <w:gridCol w:w="1127"/>
      </w:tblGrid>
      <w:tr w:rsidR="001821A1" w:rsidRPr="00C624FF" w:rsidTr="000C3B39">
        <w:trPr>
          <w:trHeight w:hRule="exact" w:val="791"/>
          <w:tblHeader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 xml:space="preserve">კრედიტორი 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 xml:space="preserve"> კრედიტის ვალუტა 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ნაშთი ათასი     აშშ დოლარი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ნაშთი ათასი   ლარი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საპროცენტო განაკვეთი</w:t>
            </w:r>
          </w:p>
        </w:tc>
        <w:tc>
          <w:tcPr>
            <w:tcW w:w="560" w:type="pct"/>
            <w:shd w:val="clear" w:color="000000" w:fill="FFFFFF"/>
            <w:hideMark/>
          </w:tcPr>
          <w:p w:rsidR="00C624FF" w:rsidRPr="00012D7B" w:rsidRDefault="00C624FF" w:rsidP="00C624FF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012D7B">
              <w:rPr>
                <w:rFonts w:cstheme="minorHAnsi"/>
                <w:b/>
                <w:bCs/>
                <w:sz w:val="14"/>
                <w:szCs w:val="14"/>
              </w:rPr>
              <w:t>საპროცენტო განაკვეთი მოცემული თარიღისათვის</w:t>
            </w:r>
          </w:p>
        </w:tc>
        <w:tc>
          <w:tcPr>
            <w:tcW w:w="545" w:type="pct"/>
            <w:shd w:val="clear" w:color="000000" w:fill="FFFFFF"/>
            <w:vAlign w:val="bottom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შეწონილი საპროცენტო განაკვეთი</w:t>
            </w:r>
          </w:p>
        </w:tc>
      </w:tr>
      <w:tr w:rsidR="001821A1" w:rsidRPr="00C624FF" w:rsidTr="000C3B39">
        <w:trPr>
          <w:trHeight w:hRule="exact" w:val="384"/>
          <w:jc w:val="center"/>
        </w:trPr>
        <w:tc>
          <w:tcPr>
            <w:tcW w:w="2045" w:type="pct"/>
            <w:gridSpan w:val="2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მთავრობის საგარეო ვალი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7,500,802</w:t>
            </w:r>
          </w:p>
        </w:tc>
        <w:tc>
          <w:tcPr>
            <w:tcW w:w="587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23,423,505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60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45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1821A1" w:rsidRPr="00C624FF" w:rsidTr="000C3B39">
        <w:trPr>
          <w:trHeight w:hRule="exact" w:val="341"/>
          <w:jc w:val="center"/>
        </w:trPr>
        <w:tc>
          <w:tcPr>
            <w:tcW w:w="2045" w:type="pct"/>
            <w:gridSpan w:val="2"/>
            <w:shd w:val="clear" w:color="auto" w:fill="EEECE1" w:themeFill="background2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მრავალმხრივი კრედიტორები</w:t>
            </w:r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5,444,602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17,002,403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განვითარების საერთაშორისო ასოციაცია(WB - IDA)</w:t>
            </w:r>
          </w:p>
        </w:tc>
        <w:tc>
          <w:tcPr>
            <w:tcW w:w="429" w:type="pct"/>
            <w:vMerge w:val="restart"/>
            <w:shd w:val="clear" w:color="000000" w:fill="FFFFFF"/>
            <w:noWrap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604,188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1,886,760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0.060%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235,398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735,102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0.063%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8,690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27,138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2.15%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განვითარების საერთაშორისო ასოციაცია(WB - IBRD)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104,932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327,681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1.39%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0.019%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261</w:t>
            </w:r>
          </w:p>
        </w:tc>
        <w:tc>
          <w:tcPr>
            <w:tcW w:w="653" w:type="pct"/>
            <w:vMerge w:val="restar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Euribor+VS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121,049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378,012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0.51%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91,198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284,793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0.72%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512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1,599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0.83%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154,623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482,857</w:t>
            </w:r>
          </w:p>
        </w:tc>
        <w:tc>
          <w:tcPr>
            <w:tcW w:w="653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Libor+VS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0.48%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40,996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128,022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0.68%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316,323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987,814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0.88%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0.037%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26,671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83,289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0.92%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52,473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163,862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0.94%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8,422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26,300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0.95%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64,323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200,867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1.10%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77,267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241,289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1.18%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0.012%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6,795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21,220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1.24%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120,000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374,736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1.25%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0.020%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17,332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54,125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10,911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34,072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3,463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10,814.35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(SDR Libor + IBRD VS)/2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0.71%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6,105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19,064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Euribor+VS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1.02%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1821A1" w:rsidRPr="00C624FF" w:rsidTr="000C3B39">
        <w:trPr>
          <w:trHeight w:hRule="exact" w:val="439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საერთაშორისო სავალუტო ფონდი (IMF EFF,MOF)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207,104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646,745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SDR Rate of Charge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1.05%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0.029%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 xml:space="preserve">ევროგაერთიანება </w:t>
            </w:r>
            <w:r w:rsidRPr="00C624FF">
              <w:rPr>
                <w:rFonts w:cstheme="minorHAns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110,761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345,886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0.13%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11,659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36,409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0.52%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15,157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47,332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1.16%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17,489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54,614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1.25%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1821A1" w:rsidRPr="00C624FF" w:rsidTr="000C3B39">
        <w:trPr>
          <w:trHeight w:hRule="exact" w:val="448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ევროპის რეკონსტრუქციის და განვითარების ბანკი (EBRD)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236,567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738,750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Euribor+ 1%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0.92%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0.029%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auto" w:fill="auto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აზიის განვითარების ბანკი (ADB)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SDR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58,121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181,499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300,139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937,275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0.060%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28,749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89,776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1.60%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212,707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664,242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0.057%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107,616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336,062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0.23%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82,733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258,358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0.32%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199,164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621,949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0.38%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0.010%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18,760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58,585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Euribor+FS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174,018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543,423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99,251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309,942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0.21%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49,453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154,432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0.63%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1,762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0.67%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33,333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104,093</w:t>
            </w:r>
          </w:p>
        </w:tc>
        <w:tc>
          <w:tcPr>
            <w:tcW w:w="653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Libor+FS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0.50%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65,540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204,667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0.56%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41,667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130,117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0.66%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11,333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35,392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0.70%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66,346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207,184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0.77%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48,512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151,495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0.86%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73,834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230,568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0.88%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60,302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188,311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0.92%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auto" w:fill="auto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აზიის ინფრასტრუქტურის განვითარების ბანკი (AIIB)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43,801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136,783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Libor+VS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1.59%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52,466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163,841</w:t>
            </w:r>
          </w:p>
        </w:tc>
        <w:tc>
          <w:tcPr>
            <w:tcW w:w="653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Euribor+VS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94,318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294,535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0.46%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auto" w:fill="auto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ევროსაბჭოს განვითარების ბანკი (CEB)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2,088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6,520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0.39%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1,051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3,282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Euribor+VS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ევროპის საინვესტიციო ბანკი(EIB)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99,102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309,477</w:t>
            </w:r>
          </w:p>
        </w:tc>
        <w:tc>
          <w:tcPr>
            <w:tcW w:w="653" w:type="pct"/>
            <w:vMerge w:val="restar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0.33%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33,228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103,766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0.49%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75,784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236,659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0.57%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4,270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13,335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0.73%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33,055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103,225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0.86%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59,461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185,686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11,659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36,409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1.65%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24,371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76,107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1.69%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23,318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72,818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1.94%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358,517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1,119,577</w:t>
            </w:r>
          </w:p>
        </w:tc>
        <w:tc>
          <w:tcPr>
            <w:tcW w:w="653" w:type="pct"/>
            <w:vMerge w:val="restar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Euribor+FS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60,921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190,244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0.23%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11,881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37,101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0.24%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10,290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32,134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0.30%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36,695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114,592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0.31%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C624FF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3,498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10,923</w:t>
            </w:r>
          </w:p>
        </w:tc>
        <w:tc>
          <w:tcPr>
            <w:tcW w:w="653" w:type="pct"/>
            <w:vMerge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0.34%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466"/>
          <w:jc w:val="center"/>
        </w:trPr>
        <w:tc>
          <w:tcPr>
            <w:tcW w:w="1616" w:type="pct"/>
            <w:shd w:val="clear" w:color="auto" w:fill="auto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2,191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6,843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Euribor+VS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auto" w:fill="EEECE1" w:themeFill="background2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ორმხრივი კრედიტორები</w:t>
            </w:r>
          </w:p>
        </w:tc>
        <w:tc>
          <w:tcPr>
            <w:tcW w:w="429" w:type="pct"/>
            <w:shd w:val="clear" w:color="auto" w:fill="EEECE1" w:themeFill="background2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1,554,656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4,854,880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ავსტრია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17,551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54,809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აზერბაიჯანი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4,400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13,740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თურქმენეთი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211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659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თურქეთი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8,529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26,634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3.13%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ირანი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3,265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10,196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რუსეთი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31,570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98,586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0.017%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სომხეთი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4,210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13,146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უზბეკეთი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უკრაინა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ყაზახეთი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5,374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16,781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 xml:space="preserve"> ჩინეთი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CNY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1,449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გერმანია (KfW)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4,392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13,715</w:t>
            </w:r>
          </w:p>
        </w:tc>
        <w:tc>
          <w:tcPr>
            <w:tcW w:w="653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Euribor+ 0.3%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127,084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396,858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Euribor+ 0.72%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0.25%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0.004%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104,932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327,681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0.65%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0.009%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119,888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374,386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0.012%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209,864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655,362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0.85%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0.024%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31,513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98,409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1.65%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48,081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150,146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0.013%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21,378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66,759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11,158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34,843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0.006%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20,403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63,716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5.70%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0.016%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7,421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23,174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6.68%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0.007%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იაპონია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JPY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25,461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79,509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129,383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404,039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0.65%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0.011%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950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2,966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1.30%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25,301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79,011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1.40%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15,165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47,356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2.30%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0.005%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კუვეიტი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KWD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3,551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11,088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6,168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19,262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ნიდერლანდები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313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4.20%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128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5.10%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აშშ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6,256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19,535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2.00%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3,057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9,548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2.25%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0.001%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5,360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16,738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საფრანგეთი</w:t>
            </w:r>
          </w:p>
        </w:tc>
        <w:tc>
          <w:tcPr>
            <w:tcW w:w="429" w:type="pct"/>
            <w:vMerge w:val="restar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13,758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42,963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0.17%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221,523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691,771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0.42%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0.012%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20,731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64,738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1.10%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10,611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33,137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1.27%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0.002%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16,693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52,128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1.41%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250,670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782,794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 + 0.6%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0.25%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0.008%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18,015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56,257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Euribor + 1.05%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1.05%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0.003%</w:t>
            </w:r>
          </w:p>
        </w:tc>
      </w:tr>
      <w:tr w:rsidR="001821A1" w:rsidRPr="00C624FF" w:rsidTr="000C3B39">
        <w:trPr>
          <w:trHeight w:hRule="exact" w:val="296"/>
          <w:jc w:val="center"/>
        </w:trPr>
        <w:tc>
          <w:tcPr>
            <w:tcW w:w="1616" w:type="pct"/>
            <w:shd w:val="clear" w:color="auto" w:fill="EEECE1" w:themeFill="background2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ფასიანი ქაღალდები</w:t>
            </w:r>
          </w:p>
        </w:tc>
        <w:tc>
          <w:tcPr>
            <w:tcW w:w="429" w:type="pct"/>
            <w:shd w:val="clear" w:color="auto" w:fill="EEECE1" w:themeFill="background2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1,561,400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821A1" w:rsidRPr="00C624FF" w:rsidTr="000C3B39">
        <w:trPr>
          <w:trHeight w:hRule="exact" w:val="269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503393" w:rsidP="00C624F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ევრ</w:t>
            </w:r>
            <w:r w:rsidR="00C624FF" w:rsidRPr="00C624FF">
              <w:rPr>
                <w:rFonts w:cstheme="minorHAnsi"/>
                <w:sz w:val="16"/>
                <w:szCs w:val="16"/>
              </w:rPr>
              <w:t>ობ</w:t>
            </w:r>
            <w:r w:rsidR="00C624FF">
              <w:rPr>
                <w:rFonts w:cstheme="minorHAnsi"/>
                <w:sz w:val="16"/>
                <w:szCs w:val="16"/>
              </w:rPr>
              <w:t>ონდი</w:t>
            </w:r>
            <w:r w:rsidR="00C624FF" w:rsidRPr="00C624FF">
              <w:rPr>
                <w:rFonts w:cstheme="minorHAnsi"/>
                <w:sz w:val="16"/>
                <w:szCs w:val="16"/>
              </w:rPr>
              <w:t xml:space="preserve"> 2021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USD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500,000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1,561,400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2.750%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0.183%</w:t>
            </w:r>
          </w:p>
        </w:tc>
      </w:tr>
      <w:tr w:rsidR="001821A1" w:rsidRPr="00C624FF" w:rsidTr="000C3B39">
        <w:trPr>
          <w:trHeight w:hRule="exact" w:val="269"/>
          <w:jc w:val="center"/>
        </w:trPr>
        <w:tc>
          <w:tcPr>
            <w:tcW w:w="1616" w:type="pct"/>
            <w:shd w:val="clear" w:color="auto" w:fill="EEECE1" w:themeFill="background2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გარანტირებული კრედიტები</w:t>
            </w:r>
          </w:p>
        </w:tc>
        <w:tc>
          <w:tcPr>
            <w:tcW w:w="429" w:type="pct"/>
            <w:shd w:val="clear" w:color="auto" w:fill="EEECE1" w:themeFill="background2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609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1,544</w:t>
            </w:r>
          </w:p>
        </w:tc>
        <w:tc>
          <w:tcPr>
            <w:tcW w:w="587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624FF">
              <w:rPr>
                <w:rFonts w:cstheme="minorHAnsi"/>
                <w:b/>
                <w:bCs/>
                <w:sz w:val="16"/>
                <w:szCs w:val="16"/>
              </w:rPr>
              <w:t>4,821</w:t>
            </w:r>
          </w:p>
        </w:tc>
        <w:tc>
          <w:tcPr>
            <w:tcW w:w="653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0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EEECE1" w:themeFill="background2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1616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გერმანია (KfW)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C624FF" w:rsidRPr="00C624FF" w:rsidRDefault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EUR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1,544</w:t>
            </w:r>
          </w:p>
        </w:tc>
        <w:tc>
          <w:tcPr>
            <w:tcW w:w="587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4,821</w:t>
            </w:r>
          </w:p>
        </w:tc>
        <w:tc>
          <w:tcPr>
            <w:tcW w:w="653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Fixed</w:t>
            </w:r>
          </w:p>
        </w:tc>
        <w:tc>
          <w:tcPr>
            <w:tcW w:w="560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0.75%</w:t>
            </w:r>
          </w:p>
        </w:tc>
        <w:tc>
          <w:tcPr>
            <w:tcW w:w="545" w:type="pct"/>
            <w:shd w:val="clear" w:color="000000" w:fill="FFFFFF"/>
            <w:noWrap/>
            <w:vAlign w:val="center"/>
            <w:hideMark/>
          </w:tcPr>
          <w:p w:rsidR="00C624FF" w:rsidRPr="00C624FF" w:rsidRDefault="00C624FF" w:rsidP="00C624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0.000%</w:t>
            </w:r>
          </w:p>
        </w:tc>
      </w:tr>
      <w:tr w:rsidR="001821A1" w:rsidRPr="00C624FF" w:rsidTr="000C3B39">
        <w:trPr>
          <w:trHeight w:hRule="exact" w:val="230"/>
          <w:jc w:val="center"/>
        </w:trPr>
        <w:tc>
          <w:tcPr>
            <w:tcW w:w="2045" w:type="pct"/>
            <w:gridSpan w:val="2"/>
            <w:shd w:val="clear" w:color="000000" w:fill="FFFFFF"/>
            <w:noWrap/>
            <w:vAlign w:val="center"/>
            <w:hideMark/>
          </w:tcPr>
          <w:p w:rsidR="00C624FF" w:rsidRPr="00C624FF" w:rsidRDefault="00C624FF">
            <w:pPr>
              <w:rPr>
                <w:rFonts w:cstheme="minorHAnsi"/>
                <w:sz w:val="16"/>
                <w:szCs w:val="16"/>
              </w:rPr>
            </w:pPr>
            <w:r w:rsidRPr="00C624FF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2410" w:type="pct"/>
            <w:gridSpan w:val="4"/>
            <w:shd w:val="clear" w:color="000000" w:fill="F2F2F2"/>
            <w:noWrap/>
            <w:vAlign w:val="center"/>
            <w:hideMark/>
          </w:tcPr>
          <w:p w:rsidR="00C624FF" w:rsidRPr="000C3B39" w:rsidRDefault="00C624FF" w:rsidP="00C624FF">
            <w:pPr>
              <w:jc w:val="center"/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</w:pPr>
            <w:r w:rsidRPr="000C3B39"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  <w:t>საშუალო შეწონილი საპროცენტო განაკვეთი</w:t>
            </w:r>
          </w:p>
        </w:tc>
        <w:tc>
          <w:tcPr>
            <w:tcW w:w="545" w:type="pct"/>
            <w:shd w:val="clear" w:color="000000" w:fill="F2F2F2"/>
            <w:noWrap/>
            <w:vAlign w:val="center"/>
            <w:hideMark/>
          </w:tcPr>
          <w:p w:rsidR="00C624FF" w:rsidRPr="000C3B39" w:rsidRDefault="00C624FF" w:rsidP="00C624FF">
            <w:pPr>
              <w:jc w:val="center"/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</w:pPr>
            <w:r w:rsidRPr="000C3B39">
              <w:rPr>
                <w:rFonts w:cstheme="minorHAnsi"/>
                <w:b/>
                <w:bCs/>
                <w:color w:val="1F497D" w:themeColor="text2"/>
                <w:sz w:val="16"/>
                <w:szCs w:val="16"/>
              </w:rPr>
              <w:t>0.97%</w:t>
            </w:r>
          </w:p>
        </w:tc>
      </w:tr>
    </w:tbl>
    <w:p w:rsidR="0049690F" w:rsidRPr="00140A25" w:rsidRDefault="0049690F" w:rsidP="00C624FF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E97A98" w:rsidRDefault="00E97A98" w:rsidP="00FF34C6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797BDC" w:rsidRPr="00E97A98" w:rsidRDefault="00BE093C" w:rsidP="00914EEA">
      <w:pPr>
        <w:tabs>
          <w:tab w:val="left" w:pos="9072"/>
        </w:tabs>
        <w:ind w:firstLine="720"/>
        <w:jc w:val="both"/>
        <w:rPr>
          <w:rFonts w:ascii="Calibri" w:eastAsia="Times New Roman" w:hAnsi="Calibri" w:cs="Calibri"/>
          <w:bCs/>
          <w:iCs/>
          <w:color w:val="000000"/>
        </w:rPr>
      </w:pP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 xml:space="preserve">მთავრობის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140A2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760891">
        <w:rPr>
          <w:rFonts w:ascii="Sylfaen" w:hAnsi="Sylfaen" w:cs="Sylfaen"/>
          <w:szCs w:val="21"/>
          <w:shd w:val="clear" w:color="auto" w:fill="FFFFFF"/>
        </w:rPr>
        <w:t>21</w:t>
      </w:r>
      <w:r w:rsidR="000F5720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60891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E82286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760891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კვარტლის</w:t>
      </w:r>
      <w:r w:rsidR="00784855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განმავლობაში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716E4C">
        <w:rPr>
          <w:rFonts w:ascii="Sylfaen" w:hAnsi="Sylfaen" w:cs="Sylfaen"/>
          <w:szCs w:val="21"/>
          <w:shd w:val="clear" w:color="auto" w:fill="FFFFFF"/>
          <w:lang w:val="ka-GE"/>
        </w:rPr>
        <w:t>2,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660</w:t>
      </w:r>
      <w:r w:rsidR="00E97A98">
        <w:rPr>
          <w:rFonts w:ascii="Calibri" w:eastAsia="Times New Roman" w:hAnsi="Calibri" w:cs="Calibri"/>
          <w:bCs/>
          <w:iCs/>
          <w:color w:val="000000"/>
        </w:rPr>
        <w:t>,</w:t>
      </w:r>
      <w:r w:rsidR="001779D6">
        <w:rPr>
          <w:rFonts w:ascii="Sylfaen" w:eastAsia="Times New Roman" w:hAnsi="Sylfaen" w:cs="Calibri"/>
          <w:bCs/>
          <w:iCs/>
          <w:color w:val="000000"/>
          <w:lang w:val="ka-GE"/>
        </w:rPr>
        <w:t>612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.</w:t>
      </w:r>
      <w:r w:rsidR="001779D6">
        <w:rPr>
          <w:rFonts w:ascii="Sylfaen" w:eastAsia="Times New Roman" w:hAnsi="Sylfaen" w:cs="Calibri"/>
          <w:bCs/>
          <w:iCs/>
          <w:color w:val="000000"/>
          <w:lang w:val="ka-GE"/>
        </w:rPr>
        <w:t>9</w:t>
      </w:r>
      <w:r w:rsidR="00930DB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716E4C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443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769</w:t>
      </w:r>
      <w:r w:rsidR="00E97A98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397075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1779D6">
        <w:rPr>
          <w:rFonts w:ascii="Sylfaen" w:eastAsia="Times New Roman" w:hAnsi="Sylfaen" w:cs="Calibri"/>
          <w:bCs/>
          <w:iCs/>
          <w:color w:val="000000"/>
          <w:lang w:val="ka-GE"/>
        </w:rPr>
        <w:t>216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,</w:t>
      </w:r>
      <w:r w:rsidR="001779D6">
        <w:rPr>
          <w:rFonts w:ascii="Sylfaen" w:eastAsia="Times New Roman" w:hAnsi="Sylfaen" w:cs="Calibri"/>
          <w:bCs/>
          <w:iCs/>
          <w:color w:val="000000"/>
          <w:lang w:val="ka-GE"/>
        </w:rPr>
        <w:t>843</w:t>
      </w:r>
      <w:r w:rsidR="00930DB7" w:rsidRPr="00930DB7">
        <w:rPr>
          <w:rFonts w:ascii="Calibri" w:eastAsia="Times New Roman" w:hAnsi="Calibri" w:cs="Calibri"/>
          <w:bCs/>
          <w:iCs/>
          <w:color w:val="000000"/>
        </w:rPr>
        <w:t>.</w:t>
      </w:r>
      <w:r w:rsidR="001779D6">
        <w:rPr>
          <w:rFonts w:ascii="Sylfaen" w:eastAsia="Times New Roman" w:hAnsi="Sylfaen" w:cs="Calibri"/>
          <w:bCs/>
          <w:iCs/>
          <w:color w:val="000000"/>
          <w:lang w:val="ka-GE"/>
        </w:rPr>
        <w:t>9</w:t>
      </w:r>
      <w:r w:rsidR="00930DB7">
        <w:rPr>
          <w:rFonts w:ascii="Calibri" w:eastAsia="Times New Roman" w:hAnsi="Calibri" w:cs="Calibri"/>
          <w:bCs/>
          <w:iCs/>
          <w:color w:val="000000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140A2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830F8" w:rsidRPr="00140A25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4816BC" w:rsidRDefault="00FE7942" w:rsidP="00FB01F8">
      <w:pPr>
        <w:jc w:val="center"/>
        <w:rPr>
          <w:rFonts w:ascii="Sylfaen" w:hAnsi="Sylfaen"/>
          <w:b/>
          <w:lang w:val="ka-GE"/>
        </w:rPr>
      </w:pPr>
      <w:r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 w:rsidRPr="00140A25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140A25">
        <w:rPr>
          <w:rFonts w:ascii="Sylfaen" w:hAnsi="Sylfaen"/>
          <w:b/>
          <w:lang w:val="ka-GE"/>
        </w:rPr>
        <w:t>20</w:t>
      </w:r>
      <w:r w:rsidR="000A407F">
        <w:rPr>
          <w:rFonts w:ascii="Sylfaen" w:hAnsi="Sylfaen"/>
          <w:b/>
          <w:lang w:val="ka-GE"/>
        </w:rPr>
        <w:t>2</w:t>
      </w:r>
      <w:r w:rsidR="00285C33">
        <w:rPr>
          <w:rFonts w:ascii="Sylfaen" w:hAnsi="Sylfaen"/>
          <w:b/>
          <w:lang w:val="ka-GE"/>
        </w:rPr>
        <w:t>1</w:t>
      </w:r>
      <w:r w:rsidR="000F5720" w:rsidRPr="00140A25">
        <w:rPr>
          <w:rFonts w:ascii="Sylfaen" w:hAnsi="Sylfaen"/>
          <w:b/>
          <w:lang w:val="ka-GE"/>
        </w:rPr>
        <w:t xml:space="preserve"> წლის </w:t>
      </w:r>
      <w:r w:rsidR="00716E4C">
        <w:rPr>
          <w:rFonts w:ascii="Sylfaen" w:hAnsi="Sylfaen"/>
          <w:b/>
          <w:lang w:val="ka-GE"/>
        </w:rPr>
        <w:t>30</w:t>
      </w:r>
      <w:r w:rsidR="00E97A98">
        <w:rPr>
          <w:rFonts w:ascii="Sylfaen" w:hAnsi="Sylfaen"/>
          <w:b/>
          <w:lang w:val="ka-GE"/>
        </w:rPr>
        <w:t xml:space="preserve"> </w:t>
      </w:r>
      <w:r w:rsidR="001779D6">
        <w:rPr>
          <w:rFonts w:ascii="Sylfaen" w:hAnsi="Sylfaen"/>
          <w:b/>
          <w:lang w:val="ka-GE"/>
        </w:rPr>
        <w:t>სექტემბრის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FD691A" w:rsidRPr="00140A25">
        <w:rPr>
          <w:rFonts w:ascii="Sylfaen" w:hAnsi="Sylfaen"/>
          <w:b/>
          <w:lang w:val="ka-GE"/>
        </w:rPr>
        <w:t>მდგომარეობით</w:t>
      </w:r>
    </w:p>
    <w:p w:rsidR="00086670" w:rsidRPr="00086670" w:rsidRDefault="00086670" w:rsidP="00FB01F8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:rsidR="006F461C" w:rsidRPr="00023C53" w:rsidRDefault="00023C53" w:rsidP="00AF462C">
      <w:pPr>
        <w:tabs>
          <w:tab w:val="left" w:pos="0"/>
        </w:tabs>
        <w:spacing w:after="0" w:line="240" w:lineRule="auto"/>
        <w:ind w:right="11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     </w:t>
      </w:r>
      <w:r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                    </w:t>
      </w:r>
      <w:r w:rsidRPr="00023C53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dash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18"/>
        <w:gridCol w:w="2533"/>
        <w:gridCol w:w="2420"/>
        <w:gridCol w:w="2169"/>
      </w:tblGrid>
      <w:tr w:rsidR="001821A1" w:rsidRPr="000C3B39" w:rsidTr="000C3B39">
        <w:trPr>
          <w:trHeight w:hRule="exact" w:val="421"/>
          <w:tblHeader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>კრედიტორები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>ვალების დაფარვა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b/>
                <w:bCs/>
                <w:color w:val="000000"/>
                <w:sz w:val="18"/>
                <w:szCs w:val="18"/>
              </w:rPr>
              <w:t>სულ 2021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ავსტრია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2,168.45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439.47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2,607.9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კუვეიტი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2,831.12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735.04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3,566.2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იაპონია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17,081.58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3,930.48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21,012.1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43,452.15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13,041.11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56,493.3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აშშ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2,584.24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265.31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2,849.5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სომხეთი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4,076.86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468.20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4,545.1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აზერბაიჯანი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3,501.11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489.36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3,990.5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ირანი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2,721.41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362.42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3,083.8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ყაზახეთი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10,892.35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5,574.41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16,466.8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ნიდერლანდები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466.00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36.67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502.7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რუსეთი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28,432.78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4,707.23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33,140.0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თურქეთი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6,701.22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1,039.81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7,741.0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უკრაინა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72.63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74.9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უზბეკეთი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79.54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2.42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82.0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საფრანგეთი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32,120.07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8,200.89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40,321.0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ჩინეთი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1,288.33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1,288.3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196,443.54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28,291.65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224,735.2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41,657.41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29,135.23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70,792.6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5,346.25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1,263.13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6,609.4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50,715.85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7,953.60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58,669.5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21,819.38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7,274.80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29,094.2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261,817.04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34,817.13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296,634.2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6,380.57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6,380.6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2,040.25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2,040.2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14.28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14.3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1,558.43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1,558.4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799.66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151.96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951.6</w:t>
            </w:r>
          </w:p>
        </w:tc>
      </w:tr>
      <w:tr w:rsidR="008502C2" w:rsidRPr="000C3B39" w:rsidTr="000C3B39">
        <w:trPr>
          <w:trHeight w:hRule="exact" w:val="259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color w:val="000000"/>
                <w:sz w:val="18"/>
                <w:szCs w:val="18"/>
              </w:rPr>
              <w:t>ევრობონდი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1,706,700.00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58,667.81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</w:pPr>
            <w:r w:rsidRPr="000C3B39">
              <w:rPr>
                <w:rFonts w:ascii="Sylfaen" w:eastAsia="Times New Roman" w:hAnsi="Sylfaen" w:cstheme="minorHAnsi"/>
                <w:iCs/>
                <w:color w:val="000000"/>
                <w:sz w:val="18"/>
                <w:szCs w:val="18"/>
              </w:rPr>
              <w:t>1,765,367.8</w:t>
            </w:r>
          </w:p>
        </w:tc>
      </w:tr>
      <w:tr w:rsidR="008502C2" w:rsidRPr="000C3B39" w:rsidTr="000C3B39">
        <w:trPr>
          <w:trHeight w:hRule="exact" w:val="304"/>
          <w:jc w:val="center"/>
        </w:trPr>
        <w:tc>
          <w:tcPr>
            <w:tcW w:w="1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8502C2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0C3B39">
              <w:rPr>
                <w:rFonts w:ascii="Sylfaen" w:eastAsia="Times New Roman" w:hAnsi="Sylfaen" w:cstheme="minorHAnsi"/>
                <w:b/>
                <w:bCs/>
                <w:i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12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0C3B39">
              <w:rPr>
                <w:rFonts w:ascii="Sylfaen" w:eastAsia="Times New Roman" w:hAnsi="Sylfaen" w:cstheme="minorHAnsi"/>
                <w:b/>
                <w:bCs/>
                <w:iCs/>
                <w:color w:val="000000"/>
                <w:sz w:val="20"/>
                <w:szCs w:val="20"/>
              </w:rPr>
              <w:t>2,443,769.0</w:t>
            </w:r>
          </w:p>
        </w:tc>
        <w:tc>
          <w:tcPr>
            <w:tcW w:w="1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0C3B39">
              <w:rPr>
                <w:rFonts w:ascii="Sylfaen" w:eastAsia="Times New Roman" w:hAnsi="Sylfaen" w:cstheme="minorHAnsi"/>
                <w:b/>
                <w:bCs/>
                <w:iCs/>
                <w:color w:val="000000"/>
                <w:sz w:val="20"/>
                <w:szCs w:val="20"/>
              </w:rPr>
              <w:t>216,843.9</w:t>
            </w:r>
          </w:p>
        </w:tc>
        <w:tc>
          <w:tcPr>
            <w:tcW w:w="10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502C2" w:rsidRPr="000C3B39" w:rsidRDefault="008502C2" w:rsidP="00AF462C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0C3B39">
              <w:rPr>
                <w:rFonts w:ascii="Sylfaen" w:eastAsia="Times New Roman" w:hAnsi="Sylfaen" w:cstheme="minorHAnsi"/>
                <w:b/>
                <w:bCs/>
                <w:iCs/>
                <w:color w:val="000000"/>
                <w:sz w:val="20"/>
                <w:szCs w:val="20"/>
              </w:rPr>
              <w:t>2,660,612.9</w:t>
            </w:r>
          </w:p>
        </w:tc>
      </w:tr>
    </w:tbl>
    <w:p w:rsidR="00086670" w:rsidRDefault="00086670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9E33C4" w:rsidRPr="00140A25" w:rsidRDefault="00B57E95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  <w:r w:rsidRPr="00140A25"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396821" w:rsidRDefault="00F274F7" w:rsidP="00F274F7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202</w:t>
      </w:r>
      <w:r w:rsidR="00285C33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5043A4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.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93049">
        <w:rPr>
          <w:rFonts w:ascii="Sylfaen" w:hAnsi="Sylfaen" w:cs="Sylfaen"/>
          <w:szCs w:val="21"/>
          <w:shd w:val="clear" w:color="auto" w:fill="FFFFFF"/>
          <w:lang w:val="ka-GE"/>
        </w:rPr>
        <w:t>8.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1763FC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1763FC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96821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232D4" w:rsidRDefault="00396821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</w:t>
      </w:r>
      <w:r>
        <w:rPr>
          <w:rFonts w:ascii="Sylfaen" w:hAnsi="Sylfaen" w:cs="Sylfaen"/>
          <w:shd w:val="clear" w:color="auto" w:fill="FFFFFF"/>
          <w:lang w:val="ka-GE"/>
        </w:rPr>
        <w:t>202</w:t>
      </w:r>
      <w:r w:rsidR="00F274F7">
        <w:rPr>
          <w:rFonts w:ascii="Sylfaen" w:hAnsi="Sylfaen" w:cs="Sylfaen"/>
          <w:shd w:val="clear" w:color="auto" w:fill="FFFFFF"/>
        </w:rPr>
        <w:t>1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E82F1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F274F7">
        <w:rPr>
          <w:rFonts w:ascii="Sylfaen" w:hAnsi="Sylfaen" w:cs="Sylfaen"/>
          <w:shd w:val="clear" w:color="auto" w:fill="FFFFFF"/>
          <w:lang w:val="ka-GE"/>
        </w:rPr>
        <w:t>5,</w:t>
      </w:r>
      <w:r w:rsidR="001779D6">
        <w:rPr>
          <w:rFonts w:ascii="Sylfaen" w:hAnsi="Sylfaen" w:cs="Sylfaen"/>
          <w:shd w:val="clear" w:color="auto" w:fill="FFFFFF"/>
          <w:lang w:val="ka-GE"/>
        </w:rPr>
        <w:t>507.1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</w:t>
      </w:r>
      <w:r w:rsidRPr="008A7B7D">
        <w:rPr>
          <w:rFonts w:ascii="Sylfaen" w:hAnsi="Sylfaen" w:cs="Sylfaen"/>
          <w:lang w:val="ka-GE"/>
        </w:rPr>
        <w:t xml:space="preserve">- </w:t>
      </w:r>
      <w:r w:rsidR="00F274F7">
        <w:rPr>
          <w:rFonts w:ascii="Sylfaen" w:hAnsi="Sylfaen" w:cs="Sylfaen"/>
          <w:lang w:val="ka-GE"/>
        </w:rPr>
        <w:t>5</w:t>
      </w:r>
      <w:r w:rsidR="00993049">
        <w:rPr>
          <w:rFonts w:ascii="Sylfaen" w:hAnsi="Sylfaen" w:cs="Sylfaen"/>
          <w:lang w:val="ka-GE"/>
        </w:rPr>
        <w:t>,</w:t>
      </w:r>
      <w:r w:rsidR="001779D6">
        <w:rPr>
          <w:rFonts w:ascii="Sylfaen" w:hAnsi="Sylfaen" w:cs="Sylfaen"/>
          <w:lang w:val="ka-GE"/>
        </w:rPr>
        <w:t>456</w:t>
      </w:r>
      <w:r w:rsidR="00993049">
        <w:rPr>
          <w:rFonts w:ascii="Sylfaen" w:hAnsi="Sylfaen" w:cs="Sylfaen"/>
          <w:lang w:val="ka-GE"/>
        </w:rPr>
        <w:t>.</w:t>
      </w:r>
      <w:r w:rsidR="001779D6">
        <w:rPr>
          <w:rFonts w:ascii="Sylfaen" w:hAnsi="Sylfaen" w:cs="Sylfaen"/>
          <w:lang w:val="ka-GE"/>
        </w:rPr>
        <w:t>8</w:t>
      </w:r>
      <w:r w:rsidRPr="008A7B7D">
        <w:rPr>
          <w:rFonts w:ascii="Sylfaen" w:hAnsi="Sylfaen" w:cs="Sylfaen"/>
          <w:lang w:val="ka-GE"/>
        </w:rPr>
        <w:t xml:space="preserve"> მლნ ლარი და </w:t>
      </w:r>
      <w:r w:rsidRPr="008A7B7D">
        <w:rPr>
          <w:rFonts w:ascii="Sylfaen" w:hAnsi="Sylfaen"/>
          <w:szCs w:val="21"/>
          <w:lang w:val="ka-GE"/>
        </w:rPr>
        <w:t xml:space="preserve">საბიუჯეტო ორგანიზაციების სესხის სახით არსებულ ნაშთი - </w:t>
      </w:r>
      <w:r w:rsidR="001779D6">
        <w:rPr>
          <w:rFonts w:ascii="Sylfaen" w:hAnsi="Sylfaen"/>
          <w:szCs w:val="21"/>
          <w:lang w:val="ka-GE"/>
        </w:rPr>
        <w:t>38</w:t>
      </w:r>
      <w:r w:rsidR="00993049">
        <w:rPr>
          <w:rFonts w:ascii="Sylfaen" w:hAnsi="Sylfaen"/>
          <w:szCs w:val="21"/>
          <w:lang w:val="ka-GE"/>
        </w:rPr>
        <w:t>.</w:t>
      </w:r>
      <w:r w:rsidR="001779D6">
        <w:rPr>
          <w:rFonts w:ascii="Sylfaen" w:hAnsi="Sylfaen"/>
          <w:szCs w:val="21"/>
          <w:lang w:val="ka-GE"/>
        </w:rPr>
        <w:t>8</w:t>
      </w:r>
      <w:r w:rsidRPr="008A7B7D">
        <w:rPr>
          <w:rFonts w:ascii="Sylfaen" w:hAnsi="Sylfaen"/>
          <w:szCs w:val="21"/>
          <w:lang w:val="ka-GE"/>
        </w:rPr>
        <w:t xml:space="preserve"> მლნ ლარი</w:t>
      </w:r>
      <w:r w:rsidRPr="008A7B7D">
        <w:rPr>
          <w:rFonts w:ascii="Sylfaen" w:hAnsi="Sylfaen" w:cs="Sylfaen"/>
          <w:lang w:val="ka-GE"/>
        </w:rPr>
        <w:t>), აქედან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993049">
        <w:rPr>
          <w:rFonts w:ascii="Sylfaen" w:hAnsi="Sylfaen" w:cs="Sylfaen"/>
          <w:shd w:val="clear" w:color="auto" w:fill="FFFFFF"/>
          <w:lang w:val="ka-GE"/>
        </w:rPr>
        <w:t>5,</w:t>
      </w:r>
      <w:r w:rsidR="001779D6">
        <w:rPr>
          <w:rFonts w:ascii="Sylfaen" w:hAnsi="Sylfaen" w:cs="Sylfaen"/>
          <w:shd w:val="clear" w:color="auto" w:fill="FFFFFF"/>
          <w:lang w:val="ka-GE"/>
        </w:rPr>
        <w:t>147</w:t>
      </w:r>
      <w:r w:rsidR="00993049">
        <w:rPr>
          <w:rFonts w:ascii="Sylfaen" w:hAnsi="Sylfaen" w:cs="Sylfaen"/>
          <w:shd w:val="clear" w:color="auto" w:fill="FFFFFF"/>
          <w:lang w:val="ka-GE"/>
        </w:rPr>
        <w:t>.</w:t>
      </w:r>
      <w:r w:rsidR="001779D6">
        <w:rPr>
          <w:rFonts w:ascii="Sylfaen" w:hAnsi="Sylfaen" w:cs="Sylfaen"/>
          <w:shd w:val="clear" w:color="auto" w:fill="FFFFFF"/>
          <w:lang w:val="ka-GE"/>
        </w:rPr>
        <w:t>5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1779D6">
        <w:rPr>
          <w:rFonts w:ascii="Sylfaen" w:hAnsi="Sylfaen" w:cs="Sylfaen"/>
          <w:shd w:val="clear" w:color="auto" w:fill="FFFFFF"/>
          <w:lang w:val="ka-GE"/>
        </w:rPr>
        <w:t>320</w:t>
      </w:r>
      <w:r>
        <w:rPr>
          <w:rFonts w:ascii="Sylfaen" w:hAnsi="Sylfaen" w:cs="Sylfaen"/>
          <w:shd w:val="clear" w:color="auto" w:fill="FFFFFF"/>
          <w:lang w:val="ka-GE"/>
        </w:rPr>
        <w:t>.</w:t>
      </w:r>
      <w:r w:rsidRPr="00576720">
        <w:rPr>
          <w:rFonts w:ascii="Sylfaen" w:hAnsi="Sylfaen" w:cs="Sylfaen"/>
          <w:shd w:val="clear" w:color="auto" w:fill="FFFFFF"/>
          <w:lang w:val="ka-GE"/>
        </w:rPr>
        <w:t>8</w:t>
      </w:r>
      <w:r>
        <w:rPr>
          <w:rFonts w:ascii="Sylfaen" w:hAnsi="Sylfaen" w:cs="Sylfaen"/>
          <w:shd w:val="clear" w:color="auto" w:fill="FFFFFF"/>
          <w:lang w:val="ka-GE"/>
        </w:rPr>
        <w:t xml:space="preserve"> 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1779D6">
        <w:rPr>
          <w:rFonts w:ascii="Sylfaen" w:hAnsi="Sylfaen"/>
          <w:szCs w:val="21"/>
          <w:shd w:val="clear" w:color="auto" w:fill="FFFFFF"/>
          <w:lang w:val="ka-GE"/>
        </w:rPr>
        <w:t>38.8</w:t>
      </w:r>
      <w:r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086670" w:rsidRDefault="00086670" w:rsidP="00086670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/>
          <w:szCs w:val="21"/>
          <w:shd w:val="clear" w:color="auto" w:fill="FFFFFF"/>
          <w:lang w:val="ka-GE"/>
        </w:rPr>
      </w:pPr>
    </w:p>
    <w:p w:rsidR="00B232D4" w:rsidRDefault="00B232D4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396821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F274F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1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E82F1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30</w:t>
      </w:r>
      <w:r w:rsidR="0099304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1779D6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სექტემბრის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2672E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B79CB" w:rsidRDefault="00396821" w:rsidP="00396821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BB79C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3078"/>
      </w:tblGrid>
      <w:tr w:rsidR="0077274B" w:rsidRPr="000C3B39" w:rsidTr="008E6116">
        <w:trPr>
          <w:trHeight w:val="343"/>
          <w:jc w:val="center"/>
        </w:trPr>
        <w:tc>
          <w:tcPr>
            <w:tcW w:w="3539" w:type="pct"/>
            <w:vAlign w:val="center"/>
            <w:hideMark/>
          </w:tcPr>
          <w:p w:rsidR="0077274B" w:rsidRPr="000C3B39" w:rsidRDefault="0077274B" w:rsidP="0077274B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</w:pPr>
            <w:bookmarkStart w:id="0" w:name="_GoBack"/>
            <w:r w:rsidRPr="000C3B39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61" w:type="pct"/>
            <w:hideMark/>
          </w:tcPr>
          <w:p w:rsidR="0077274B" w:rsidRPr="000C3B39" w:rsidRDefault="00F274F7" w:rsidP="001779D6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 w:rsidRPr="000C3B39">
              <w:rPr>
                <w:rFonts w:ascii="Sylfaen" w:hAnsi="Sylfaen" w:cstheme="minorHAnsi"/>
                <w:b/>
                <w:sz w:val="20"/>
                <w:szCs w:val="20"/>
              </w:rPr>
              <w:t>5</w:t>
            </w:r>
            <w:r w:rsidR="005134D5" w:rsidRPr="000C3B39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 w:rsidR="001779D6" w:rsidRPr="000C3B39">
              <w:rPr>
                <w:rFonts w:ascii="Sylfaen" w:hAnsi="Sylfaen" w:cstheme="minorHAnsi"/>
                <w:b/>
                <w:sz w:val="20"/>
                <w:szCs w:val="20"/>
              </w:rPr>
              <w:t>495</w:t>
            </w:r>
            <w:r w:rsidR="005134D5" w:rsidRPr="000C3B39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 w:rsidR="001779D6" w:rsidRPr="000C3B39">
              <w:rPr>
                <w:rFonts w:ascii="Sylfaen" w:hAnsi="Sylfaen" w:cstheme="minorHAnsi"/>
                <w:b/>
                <w:sz w:val="20"/>
                <w:szCs w:val="20"/>
              </w:rPr>
              <w:t>516</w:t>
            </w:r>
            <w:r w:rsidR="0077274B" w:rsidRPr="000C3B39">
              <w:rPr>
                <w:rFonts w:ascii="Sylfaen" w:hAnsi="Sylfaen" w:cstheme="minorHAnsi"/>
                <w:b/>
                <w:sz w:val="20"/>
                <w:szCs w:val="20"/>
              </w:rPr>
              <w:t>,</w:t>
            </w:r>
            <w:r w:rsidR="001779D6" w:rsidRPr="000C3B39">
              <w:rPr>
                <w:rFonts w:ascii="Sylfaen" w:hAnsi="Sylfaen" w:cstheme="minorHAnsi"/>
                <w:b/>
                <w:sz w:val="20"/>
                <w:szCs w:val="20"/>
              </w:rPr>
              <w:t>4</w:t>
            </w:r>
          </w:p>
        </w:tc>
      </w:tr>
      <w:tr w:rsidR="0077274B" w:rsidRPr="000C3B39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0C3B39" w:rsidRDefault="0077274B" w:rsidP="0077274B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0C3B3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სახაზინო ფასიანი ქაღალდები</w:t>
            </w:r>
          </w:p>
        </w:tc>
        <w:tc>
          <w:tcPr>
            <w:tcW w:w="1461" w:type="pct"/>
            <w:hideMark/>
          </w:tcPr>
          <w:p w:rsidR="0077274B" w:rsidRPr="000C3B39" w:rsidRDefault="0077274B" w:rsidP="001779D6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 w:rsidRPr="000C3B39">
              <w:rPr>
                <w:rFonts w:ascii="Sylfaen" w:hAnsi="Sylfaen" w:cstheme="minorHAnsi"/>
                <w:b/>
                <w:sz w:val="20"/>
                <w:szCs w:val="20"/>
              </w:rPr>
              <w:t xml:space="preserve">5 </w:t>
            </w:r>
            <w:r w:rsidR="001779D6" w:rsidRPr="000C3B39">
              <w:rPr>
                <w:rFonts w:ascii="Sylfaen" w:hAnsi="Sylfaen" w:cstheme="minorHAnsi"/>
                <w:b/>
                <w:sz w:val="20"/>
                <w:szCs w:val="20"/>
              </w:rPr>
              <w:t>135</w:t>
            </w:r>
            <w:r w:rsidRPr="000C3B39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 w:rsidR="001779D6" w:rsidRPr="000C3B39">
              <w:rPr>
                <w:rFonts w:ascii="Sylfaen" w:hAnsi="Sylfaen" w:cstheme="minorHAnsi"/>
                <w:b/>
                <w:sz w:val="20"/>
                <w:szCs w:val="20"/>
              </w:rPr>
              <w:t>907,0</w:t>
            </w:r>
          </w:p>
        </w:tc>
      </w:tr>
      <w:tr w:rsidR="0077274B" w:rsidRPr="000C3B39" w:rsidTr="008E6116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:rsidR="0077274B" w:rsidRPr="000C3B39" w:rsidRDefault="0077274B" w:rsidP="0077274B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0C3B39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6</w:t>
            </w:r>
            <w:r w:rsidRPr="000C3B39">
              <w:rPr>
                <w:rFonts w:ascii="Sylfaen" w:eastAsia="Times New Roman" w:hAnsi="Sylfaen" w:cstheme="minorHAnsi"/>
                <w:sz w:val="20"/>
                <w:szCs w:val="20"/>
              </w:rPr>
              <w:t xml:space="preserve"> თვის ვადიანობის სახაზინო ვალდებულებები</w:t>
            </w:r>
          </w:p>
        </w:tc>
        <w:tc>
          <w:tcPr>
            <w:tcW w:w="1461" w:type="pct"/>
          </w:tcPr>
          <w:p w:rsidR="0077274B" w:rsidRPr="000C3B39" w:rsidRDefault="001779D6" w:rsidP="0077274B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0C3B39">
              <w:rPr>
                <w:rFonts w:ascii="Sylfaen" w:hAnsi="Sylfaen" w:cstheme="minorHAnsi"/>
                <w:sz w:val="20"/>
                <w:szCs w:val="20"/>
              </w:rPr>
              <w:t>75</w:t>
            </w:r>
            <w:r w:rsidR="005134D5" w:rsidRPr="000C3B39">
              <w:rPr>
                <w:rFonts w:ascii="Sylfaen" w:hAnsi="Sylfaen" w:cstheme="minorHAnsi"/>
                <w:sz w:val="20"/>
                <w:szCs w:val="20"/>
              </w:rPr>
              <w:t xml:space="preserve"> </w:t>
            </w:r>
            <w:r w:rsidR="0077274B" w:rsidRPr="000C3B39">
              <w:rPr>
                <w:rFonts w:ascii="Sylfaen" w:hAnsi="Sylfaen" w:cstheme="minorHAnsi"/>
                <w:sz w:val="20"/>
                <w:szCs w:val="20"/>
              </w:rPr>
              <w:t>000,0</w:t>
            </w:r>
          </w:p>
        </w:tc>
      </w:tr>
      <w:tr w:rsidR="0077274B" w:rsidRPr="000C3B39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0C3B39" w:rsidRDefault="0077274B" w:rsidP="0077274B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0C3B39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461" w:type="pct"/>
            <w:hideMark/>
          </w:tcPr>
          <w:p w:rsidR="0077274B" w:rsidRPr="000C3B39" w:rsidRDefault="001779D6" w:rsidP="005134D5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0C3B39">
              <w:rPr>
                <w:rFonts w:ascii="Sylfaen" w:hAnsi="Sylfaen" w:cstheme="minorHAnsi"/>
                <w:sz w:val="20"/>
                <w:szCs w:val="20"/>
              </w:rPr>
              <w:t>255</w:t>
            </w:r>
            <w:r w:rsidR="0077274B" w:rsidRPr="000C3B39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0C3B39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0C3B39" w:rsidRDefault="0077274B" w:rsidP="0077274B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0C3B39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461" w:type="pct"/>
            <w:hideMark/>
          </w:tcPr>
          <w:p w:rsidR="0077274B" w:rsidRPr="000C3B39" w:rsidRDefault="001779D6" w:rsidP="003D7FE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0C3B39">
              <w:rPr>
                <w:rFonts w:ascii="Sylfaen" w:hAnsi="Sylfaen" w:cstheme="minorHAnsi"/>
                <w:sz w:val="20"/>
                <w:szCs w:val="20"/>
              </w:rPr>
              <w:t>980</w:t>
            </w:r>
            <w:r w:rsidR="0077274B" w:rsidRPr="000C3B39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0C3B39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0C3B39" w:rsidRDefault="0077274B" w:rsidP="0077274B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0C3B39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461" w:type="pct"/>
            <w:hideMark/>
          </w:tcPr>
          <w:p w:rsidR="0077274B" w:rsidRPr="000C3B39" w:rsidRDefault="00202DDD" w:rsidP="001779D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0C3B39">
              <w:rPr>
                <w:rFonts w:ascii="Sylfaen" w:hAnsi="Sylfaen" w:cstheme="minorHAnsi"/>
                <w:sz w:val="20"/>
                <w:szCs w:val="20"/>
              </w:rPr>
              <w:t>2</w:t>
            </w:r>
            <w:r w:rsidR="0077274B" w:rsidRPr="000C3B39">
              <w:rPr>
                <w:rFonts w:ascii="Sylfaen" w:hAnsi="Sylfaen" w:cstheme="minorHAnsi"/>
                <w:sz w:val="20"/>
                <w:szCs w:val="20"/>
              </w:rPr>
              <w:t xml:space="preserve"> </w:t>
            </w:r>
            <w:r w:rsidR="001779D6" w:rsidRPr="000C3B39">
              <w:rPr>
                <w:rFonts w:ascii="Sylfaen" w:hAnsi="Sylfaen" w:cstheme="minorHAnsi"/>
                <w:sz w:val="20"/>
                <w:szCs w:val="20"/>
              </w:rPr>
              <w:t>520</w:t>
            </w:r>
            <w:r w:rsidR="0077274B" w:rsidRPr="000C3B39">
              <w:rPr>
                <w:rFonts w:ascii="Sylfaen" w:hAnsi="Sylfaen" w:cstheme="minorHAnsi"/>
                <w:sz w:val="20"/>
                <w:szCs w:val="20"/>
              </w:rPr>
              <w:t xml:space="preserve"> </w:t>
            </w:r>
            <w:r w:rsidR="001779D6" w:rsidRPr="000C3B39">
              <w:rPr>
                <w:rFonts w:ascii="Sylfaen" w:hAnsi="Sylfaen" w:cstheme="minorHAnsi"/>
                <w:sz w:val="20"/>
                <w:szCs w:val="20"/>
              </w:rPr>
              <w:t>339</w:t>
            </w:r>
            <w:r w:rsidR="0077274B" w:rsidRPr="000C3B39">
              <w:rPr>
                <w:rFonts w:ascii="Sylfaen" w:hAnsi="Sylfaen" w:cstheme="minorHAnsi"/>
                <w:sz w:val="20"/>
                <w:szCs w:val="20"/>
              </w:rPr>
              <w:t>,0</w:t>
            </w:r>
          </w:p>
        </w:tc>
      </w:tr>
      <w:tr w:rsidR="0077274B" w:rsidRPr="000C3B39" w:rsidTr="008E6116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77274B" w:rsidRPr="000C3B39" w:rsidRDefault="0077274B" w:rsidP="0077274B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0C3B39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461" w:type="pct"/>
            <w:hideMark/>
          </w:tcPr>
          <w:p w:rsidR="0077274B" w:rsidRPr="000C3B39" w:rsidRDefault="0077274B" w:rsidP="001779D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0C3B39">
              <w:rPr>
                <w:rFonts w:ascii="Sylfaen" w:hAnsi="Sylfaen" w:cstheme="minorHAnsi"/>
                <w:sz w:val="20"/>
                <w:szCs w:val="20"/>
              </w:rPr>
              <w:t xml:space="preserve">1 </w:t>
            </w:r>
            <w:r w:rsidR="001779D6" w:rsidRPr="000C3B39">
              <w:rPr>
                <w:rFonts w:ascii="Sylfaen" w:hAnsi="Sylfaen" w:cstheme="minorHAnsi"/>
                <w:sz w:val="20"/>
                <w:szCs w:val="20"/>
              </w:rPr>
              <w:t>305</w:t>
            </w:r>
            <w:r w:rsidRPr="000C3B39">
              <w:rPr>
                <w:rFonts w:ascii="Sylfaen" w:hAnsi="Sylfaen" w:cstheme="minorHAnsi"/>
                <w:sz w:val="20"/>
                <w:szCs w:val="20"/>
              </w:rPr>
              <w:t xml:space="preserve"> </w:t>
            </w:r>
            <w:r w:rsidR="003D7FE1" w:rsidRPr="000C3B39">
              <w:rPr>
                <w:rFonts w:ascii="Sylfaen" w:hAnsi="Sylfaen" w:cstheme="minorHAnsi"/>
                <w:sz w:val="20"/>
                <w:szCs w:val="20"/>
              </w:rPr>
              <w:t>56</w:t>
            </w:r>
            <w:r w:rsidRPr="000C3B39">
              <w:rPr>
                <w:rFonts w:ascii="Sylfaen" w:hAnsi="Sylfaen" w:cstheme="minorHAnsi"/>
                <w:sz w:val="20"/>
                <w:szCs w:val="20"/>
              </w:rPr>
              <w:t>8,0</w:t>
            </w:r>
          </w:p>
        </w:tc>
      </w:tr>
      <w:tr w:rsidR="0077274B" w:rsidRPr="000C3B39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0C3B39" w:rsidRDefault="0077274B" w:rsidP="0077274B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0C3B3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სხვა ფასიანი ქაღალდები</w:t>
            </w:r>
          </w:p>
        </w:tc>
        <w:tc>
          <w:tcPr>
            <w:tcW w:w="1461" w:type="pct"/>
          </w:tcPr>
          <w:p w:rsidR="0077274B" w:rsidRPr="000C3B39" w:rsidRDefault="005134D5" w:rsidP="003D7FE1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 w:rsidRPr="000C3B39">
              <w:rPr>
                <w:rFonts w:ascii="Sylfaen" w:hAnsi="Sylfaen" w:cstheme="minorHAnsi"/>
                <w:b/>
                <w:sz w:val="20"/>
                <w:szCs w:val="20"/>
              </w:rPr>
              <w:t>3</w:t>
            </w:r>
            <w:r w:rsidR="001779D6" w:rsidRPr="000C3B39">
              <w:rPr>
                <w:rFonts w:ascii="Sylfaen" w:hAnsi="Sylfaen" w:cstheme="minorHAnsi"/>
                <w:b/>
                <w:sz w:val="20"/>
                <w:szCs w:val="20"/>
              </w:rPr>
              <w:t>2</w:t>
            </w:r>
            <w:r w:rsidR="003D7FE1" w:rsidRPr="000C3B39">
              <w:rPr>
                <w:rFonts w:ascii="Sylfaen" w:hAnsi="Sylfaen" w:cstheme="minorHAnsi"/>
                <w:b/>
                <w:sz w:val="20"/>
                <w:szCs w:val="20"/>
              </w:rPr>
              <w:t>0</w:t>
            </w:r>
            <w:r w:rsidR="0077274B" w:rsidRPr="000C3B39">
              <w:rPr>
                <w:rFonts w:ascii="Sylfaen" w:hAnsi="Sylfaen" w:cstheme="minorHAnsi"/>
                <w:b/>
                <w:sz w:val="20"/>
                <w:szCs w:val="20"/>
              </w:rPr>
              <w:t xml:space="preserve"> 846,0</w:t>
            </w:r>
          </w:p>
        </w:tc>
      </w:tr>
      <w:tr w:rsidR="0077274B" w:rsidRPr="000C3B39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0C3B39" w:rsidRDefault="0077274B" w:rsidP="0077274B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0C3B39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ობლიგაცია სებ-სთვის</w:t>
            </w:r>
          </w:p>
        </w:tc>
        <w:tc>
          <w:tcPr>
            <w:tcW w:w="1461" w:type="pct"/>
            <w:hideMark/>
          </w:tcPr>
          <w:p w:rsidR="0077274B" w:rsidRPr="000C3B39" w:rsidRDefault="00202DDD" w:rsidP="0077274B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0C3B39">
              <w:rPr>
                <w:rFonts w:ascii="Sylfaen" w:hAnsi="Sylfaen" w:cstheme="minorHAnsi"/>
                <w:sz w:val="20"/>
                <w:szCs w:val="20"/>
              </w:rPr>
              <w:t>160</w:t>
            </w:r>
            <w:r w:rsidR="0077274B" w:rsidRPr="000C3B39">
              <w:rPr>
                <w:rFonts w:ascii="Sylfaen" w:hAnsi="Sylfaen" w:cstheme="minorHAnsi"/>
                <w:sz w:val="20"/>
                <w:szCs w:val="20"/>
              </w:rPr>
              <w:t xml:space="preserve"> 846,0</w:t>
            </w:r>
          </w:p>
        </w:tc>
      </w:tr>
      <w:tr w:rsidR="0077274B" w:rsidRPr="000C3B39" w:rsidTr="008E6116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77274B" w:rsidRPr="000C3B39" w:rsidRDefault="0077274B" w:rsidP="0077274B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0C3B39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461" w:type="pct"/>
            <w:hideMark/>
          </w:tcPr>
          <w:p w:rsidR="0077274B" w:rsidRPr="000C3B39" w:rsidRDefault="0077274B" w:rsidP="003D7FE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0C3B39">
              <w:rPr>
                <w:rFonts w:ascii="Sylfaen" w:hAnsi="Sylfaen" w:cstheme="minorHAnsi"/>
                <w:sz w:val="20"/>
                <w:szCs w:val="20"/>
              </w:rPr>
              <w:t>1</w:t>
            </w:r>
            <w:r w:rsidR="001779D6" w:rsidRPr="000C3B39">
              <w:rPr>
                <w:rFonts w:ascii="Sylfaen" w:hAnsi="Sylfaen" w:cstheme="minorHAnsi"/>
                <w:sz w:val="20"/>
                <w:szCs w:val="20"/>
              </w:rPr>
              <w:t>6</w:t>
            </w:r>
            <w:r w:rsidR="003D7FE1" w:rsidRPr="000C3B39">
              <w:rPr>
                <w:rFonts w:ascii="Sylfaen" w:hAnsi="Sylfaen" w:cstheme="minorHAnsi"/>
                <w:sz w:val="20"/>
                <w:szCs w:val="20"/>
              </w:rPr>
              <w:t>0</w:t>
            </w:r>
            <w:r w:rsidRPr="000C3B39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77274B" w:rsidRPr="000C3B39" w:rsidTr="008E6116">
        <w:trPr>
          <w:trHeight w:val="288"/>
          <w:jc w:val="center"/>
        </w:trPr>
        <w:tc>
          <w:tcPr>
            <w:tcW w:w="3539" w:type="pct"/>
            <w:vAlign w:val="center"/>
          </w:tcPr>
          <w:p w:rsidR="0077274B" w:rsidRPr="000C3B39" w:rsidRDefault="0077274B" w:rsidP="0077274B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</w:pPr>
            <w:r w:rsidRPr="000C3B3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საბიუჯეტო ორგანიზაციების სესხის სახით არსებულ</w:t>
            </w:r>
            <w:r w:rsidRPr="000C3B39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ი ვალის</w:t>
            </w:r>
            <w:r w:rsidRPr="000C3B3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ნაშ</w:t>
            </w:r>
            <w:r w:rsidRPr="000C3B39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თი</w:t>
            </w:r>
          </w:p>
        </w:tc>
        <w:tc>
          <w:tcPr>
            <w:tcW w:w="1461" w:type="pct"/>
          </w:tcPr>
          <w:p w:rsidR="0077274B" w:rsidRPr="000C3B39" w:rsidRDefault="001779D6" w:rsidP="001779D6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 w:rsidRPr="000C3B39">
              <w:rPr>
                <w:rFonts w:ascii="Sylfaen" w:hAnsi="Sylfaen" w:cstheme="minorHAnsi"/>
                <w:b/>
                <w:sz w:val="20"/>
                <w:szCs w:val="20"/>
              </w:rPr>
              <w:t>38</w:t>
            </w:r>
            <w:r w:rsidR="0077274B" w:rsidRPr="000C3B39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 w:rsidRPr="000C3B39">
              <w:rPr>
                <w:rFonts w:ascii="Sylfaen" w:hAnsi="Sylfaen" w:cstheme="minorHAnsi"/>
                <w:b/>
                <w:sz w:val="20"/>
                <w:szCs w:val="20"/>
              </w:rPr>
              <w:t>763</w:t>
            </w:r>
            <w:r w:rsidR="0077274B" w:rsidRPr="000C3B39">
              <w:rPr>
                <w:rFonts w:ascii="Sylfaen" w:hAnsi="Sylfaen" w:cstheme="minorHAnsi"/>
                <w:b/>
                <w:sz w:val="20"/>
                <w:szCs w:val="20"/>
              </w:rPr>
              <w:t>,</w:t>
            </w:r>
            <w:r w:rsidRPr="000C3B39">
              <w:rPr>
                <w:rFonts w:ascii="Sylfaen" w:hAnsi="Sylfaen" w:cstheme="minorHAnsi"/>
                <w:b/>
                <w:sz w:val="20"/>
                <w:szCs w:val="20"/>
              </w:rPr>
              <w:t>4</w:t>
            </w:r>
          </w:p>
        </w:tc>
      </w:tr>
      <w:bookmarkEnd w:id="0"/>
    </w:tbl>
    <w:p w:rsidR="00396821" w:rsidRPr="00C367E2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396821" w:rsidRPr="0077274B" w:rsidRDefault="00B4541C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77274B">
        <w:rPr>
          <w:rFonts w:ascii="Sylfaen" w:hAnsi="Sylfaen" w:cs="Sylfaen"/>
          <w:lang w:val="ka-GE"/>
        </w:rPr>
        <w:t>202</w:t>
      </w:r>
      <w:r w:rsidR="00202DDD">
        <w:rPr>
          <w:rFonts w:ascii="Sylfaen" w:hAnsi="Sylfaen" w:cs="Sylfaen"/>
          <w:lang w:val="ka-GE"/>
        </w:rPr>
        <w:t>1</w:t>
      </w:r>
      <w:r w:rsidR="00396821" w:rsidRPr="0077274B">
        <w:rPr>
          <w:rFonts w:ascii="Sylfaen" w:hAnsi="Sylfaen" w:cs="Sylfaen"/>
          <w:lang w:val="ka-GE"/>
        </w:rPr>
        <w:t xml:space="preserve"> წლის </w:t>
      </w:r>
      <w:r w:rsidR="003D7FE1">
        <w:rPr>
          <w:rFonts w:ascii="Sylfaen" w:hAnsi="Sylfaen" w:cs="Sylfaen"/>
          <w:szCs w:val="18"/>
          <w:shd w:val="clear" w:color="auto" w:fill="FFFFFF"/>
          <w:lang w:val="ka-GE"/>
        </w:rPr>
        <w:t>30</w:t>
      </w:r>
      <w:r w:rsidR="00396821" w:rsidRPr="0077274B">
        <w:rPr>
          <w:rFonts w:ascii="Sylfaen" w:hAnsi="Sylfaen" w:cs="Sylfaen"/>
          <w:szCs w:val="18"/>
          <w:shd w:val="clear" w:color="auto" w:fill="FFFFFF"/>
        </w:rPr>
        <w:t xml:space="preserve"> </w:t>
      </w:r>
      <w:r w:rsidR="00DF3A55">
        <w:rPr>
          <w:rFonts w:ascii="Sylfaen" w:hAnsi="Sylfaen" w:cs="Sylfaen"/>
          <w:szCs w:val="21"/>
          <w:shd w:val="clear" w:color="auto" w:fill="FFFFFF"/>
          <w:lang w:val="ka-GE"/>
        </w:rPr>
        <w:t>სექტე</w:t>
      </w:r>
      <w:r w:rsidR="001779D6">
        <w:rPr>
          <w:rFonts w:ascii="Sylfaen" w:hAnsi="Sylfaen" w:cs="Sylfaen"/>
          <w:szCs w:val="21"/>
          <w:shd w:val="clear" w:color="auto" w:fill="FFFFFF"/>
          <w:lang w:val="ka-GE"/>
        </w:rPr>
        <w:t>მბრის</w:t>
      </w:r>
      <w:r w:rsidR="005043A4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 xml:space="preserve">მდგომარეობით, 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D3123F">
        <w:rPr>
          <w:rFonts w:ascii="Sylfaen" w:hAnsi="Sylfaen" w:cs="Sylfaen"/>
          <w:lang w:val="ka-GE"/>
        </w:rPr>
        <w:t>740</w:t>
      </w:r>
      <w:r w:rsidR="005134D5">
        <w:rPr>
          <w:rFonts w:ascii="Sylfaen" w:hAnsi="Sylfaen" w:cs="Sylfaen"/>
          <w:lang w:val="ka-GE"/>
        </w:rPr>
        <w:t>,</w:t>
      </w:r>
      <w:r w:rsidR="00D3123F">
        <w:rPr>
          <w:rFonts w:ascii="Sylfaen" w:hAnsi="Sylfaen" w:cs="Sylfaen"/>
          <w:lang w:val="ka-GE"/>
        </w:rPr>
        <w:t>648</w:t>
      </w:r>
      <w:r w:rsidR="005134D5">
        <w:rPr>
          <w:rFonts w:ascii="Sylfaen" w:hAnsi="Sylfaen" w:cs="Sylfaen"/>
          <w:lang w:val="ka-GE"/>
        </w:rPr>
        <w:t>.</w:t>
      </w:r>
      <w:r w:rsidR="00D3123F">
        <w:rPr>
          <w:rFonts w:ascii="Sylfaen" w:hAnsi="Sylfaen" w:cs="Sylfaen"/>
          <w:lang w:val="ka-GE"/>
        </w:rPr>
        <w:t>2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ლარი, ძირითადი თანხის დაფარვამ კი</w:t>
      </w:r>
      <w:r w:rsidR="00396821" w:rsidRPr="0077274B">
        <w:rPr>
          <w:rFonts w:ascii="Sylfaen" w:hAnsi="Sylfaen" w:cs="Sylfaen"/>
        </w:rPr>
        <w:t xml:space="preserve"> </w:t>
      </w:r>
      <w:r w:rsidR="00D3123F">
        <w:rPr>
          <w:rFonts w:ascii="Sylfaen" w:hAnsi="Sylfaen" w:cs="Sylfaen"/>
          <w:lang w:val="ka-GE"/>
        </w:rPr>
        <w:t>1,385</w:t>
      </w:r>
      <w:r w:rsidR="005134D5">
        <w:rPr>
          <w:rFonts w:ascii="Sylfaen" w:hAnsi="Sylfaen" w:cs="Sylfaen"/>
          <w:lang w:val="ka-GE"/>
        </w:rPr>
        <w:t>,</w:t>
      </w:r>
      <w:r w:rsidR="00D3123F">
        <w:rPr>
          <w:rFonts w:ascii="Sylfaen" w:hAnsi="Sylfaen" w:cs="Sylfaen"/>
          <w:lang w:val="ka-GE"/>
        </w:rPr>
        <w:t>625</w:t>
      </w:r>
      <w:r w:rsidR="005134D5">
        <w:rPr>
          <w:rFonts w:ascii="Sylfaen" w:hAnsi="Sylfaen" w:cs="Sylfaen"/>
          <w:lang w:val="ka-GE"/>
        </w:rPr>
        <w:t>.</w:t>
      </w:r>
      <w:r w:rsidR="00D3123F">
        <w:rPr>
          <w:rFonts w:ascii="Sylfaen" w:hAnsi="Sylfaen" w:cs="Sylfaen"/>
          <w:lang w:val="ka-GE"/>
        </w:rPr>
        <w:t>0</w:t>
      </w:r>
      <w:r w:rsidR="0077274B" w:rsidRPr="0077274B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ლარი. შესაბამისად</w:t>
      </w:r>
      <w:r w:rsidR="00396821" w:rsidRPr="0077274B">
        <w:rPr>
          <w:rFonts w:ascii="Sylfaen" w:hAnsi="Sylfaen" w:cs="Sylfaen"/>
        </w:rPr>
        <w:t>,</w:t>
      </w:r>
      <w:r w:rsidR="00396821" w:rsidRPr="0077274B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202DDD">
        <w:rPr>
          <w:rFonts w:ascii="Sylfaen" w:hAnsi="Sylfaen" w:cs="Sylfaen"/>
          <w:szCs w:val="21"/>
          <w:shd w:val="clear" w:color="auto" w:fill="FFFFFF"/>
          <w:lang w:val="ka-GE"/>
        </w:rPr>
        <w:t>კლება</w:t>
      </w:r>
      <w:r w:rsidR="00396821" w:rsidRPr="0077274B">
        <w:rPr>
          <w:rFonts w:ascii="Sylfaen" w:hAnsi="Sylfaen" w:cs="Sylfaen"/>
          <w:lang w:val="ka-GE"/>
        </w:rPr>
        <w:t xml:space="preserve"> </w:t>
      </w:r>
      <w:r w:rsidR="00D3123F">
        <w:rPr>
          <w:rFonts w:ascii="Sylfaen" w:hAnsi="Sylfaen" w:cs="Sylfaen"/>
          <w:lang w:val="ka-GE"/>
        </w:rPr>
        <w:t>644</w:t>
      </w:r>
      <w:r w:rsidR="005134D5">
        <w:rPr>
          <w:rFonts w:ascii="Sylfaen" w:hAnsi="Sylfaen" w:cs="Sylfaen"/>
          <w:lang w:val="ka-GE"/>
        </w:rPr>
        <w:t>,</w:t>
      </w:r>
      <w:r w:rsidR="00D3123F">
        <w:rPr>
          <w:rFonts w:ascii="Sylfaen" w:hAnsi="Sylfaen" w:cs="Sylfaen"/>
          <w:lang w:val="ka-GE"/>
        </w:rPr>
        <w:t>976</w:t>
      </w:r>
      <w:r w:rsidR="005134D5">
        <w:rPr>
          <w:rFonts w:ascii="Sylfaen" w:hAnsi="Sylfaen" w:cs="Sylfaen"/>
          <w:lang w:val="ka-GE"/>
        </w:rPr>
        <w:t>.</w:t>
      </w:r>
      <w:r w:rsidR="00D3123F">
        <w:rPr>
          <w:rFonts w:ascii="Sylfaen" w:hAnsi="Sylfaen" w:cs="Sylfaen"/>
          <w:lang w:val="ka-GE"/>
        </w:rPr>
        <w:t>8</w:t>
      </w:r>
      <w:r w:rsidR="005134D5">
        <w:rPr>
          <w:rFonts w:ascii="Sylfaen" w:hAnsi="Sylfaen" w:cs="Sylfaen"/>
          <w:lang w:val="ka-GE"/>
        </w:rPr>
        <w:t xml:space="preserve"> </w:t>
      </w:r>
      <w:r w:rsidR="00396821" w:rsidRPr="0077274B">
        <w:rPr>
          <w:rFonts w:ascii="Sylfaen" w:hAnsi="Sylfaen" w:cs="Sylfaen"/>
          <w:lang w:val="ka-GE"/>
        </w:rPr>
        <w:t>ათასი ლარით განისაზღვრა.</w:t>
      </w:r>
    </w:p>
    <w:p w:rsidR="00F80CC1" w:rsidRPr="0077274B" w:rsidRDefault="00202DDD" w:rsidP="00F80CC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2021</w:t>
      </w:r>
      <w:r w:rsidR="00F80CC1" w:rsidRPr="0077274B">
        <w:rPr>
          <w:rFonts w:ascii="Sylfaen" w:hAnsi="Sylfaen" w:cs="Sylfaen"/>
          <w:lang w:val="ka-GE"/>
        </w:rPr>
        <w:t xml:space="preserve"> წლის </w:t>
      </w:r>
      <w:r w:rsidR="00D3123F">
        <w:rPr>
          <w:rFonts w:ascii="Sylfaen" w:hAnsi="Sylfaen" w:cs="Sylfaen"/>
          <w:lang w:val="ka-GE"/>
        </w:rPr>
        <w:t>3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 xml:space="preserve">კვარტლის </w:t>
      </w:r>
      <w:r w:rsidR="00F80CC1" w:rsidRPr="0077274B">
        <w:rPr>
          <w:rFonts w:ascii="Sylfaen" w:hAnsi="Sylfaen" w:cs="Sylfaen"/>
          <w:lang w:val="ka-GE"/>
        </w:rPr>
        <w:t xml:space="preserve">განმავლობაში, საშინაო ვალდებულებების მომსახურების და დაფარვისთვის სახელმწიფო ბიუჯეტიდან გაწეულმა ხარჯმა შეადგინა </w:t>
      </w:r>
      <w:r w:rsidR="00D3123F">
        <w:rPr>
          <w:rFonts w:ascii="Sylfaen" w:hAnsi="Sylfaen" w:cs="Sylfaen"/>
        </w:rPr>
        <w:t>413</w:t>
      </w:r>
      <w:r w:rsidR="003D7FE1">
        <w:rPr>
          <w:rFonts w:ascii="Sylfaen" w:hAnsi="Sylfaen" w:cs="Sylfaen"/>
          <w:lang w:val="ka-GE"/>
        </w:rPr>
        <w:t>,</w:t>
      </w:r>
      <w:r w:rsidR="00D3123F">
        <w:rPr>
          <w:rFonts w:ascii="Sylfaen" w:hAnsi="Sylfaen" w:cs="Sylfaen"/>
        </w:rPr>
        <w:t>268</w:t>
      </w:r>
      <w:r w:rsidR="00501955">
        <w:rPr>
          <w:rFonts w:ascii="Sylfaen" w:hAnsi="Sylfaen" w:cs="Sylfaen"/>
          <w:lang w:val="ka-GE"/>
        </w:rPr>
        <w:t>.8</w:t>
      </w:r>
      <w:r w:rsidR="003D7FE1">
        <w:rPr>
          <w:rFonts w:ascii="Sylfaen" w:hAnsi="Sylfaen" w:cs="Sylfaen"/>
          <w:lang w:val="ka-GE"/>
        </w:rPr>
        <w:t xml:space="preserve"> </w:t>
      </w:r>
      <w:r w:rsidR="00F80CC1" w:rsidRPr="0077274B">
        <w:rPr>
          <w:rFonts w:ascii="Sylfaen" w:hAnsi="Sylfaen" w:cs="Sylfaen"/>
          <w:lang w:val="ka-GE"/>
        </w:rPr>
        <w:t>ათასი ლარი. მათ შორის:</w:t>
      </w:r>
    </w:p>
    <w:p w:rsidR="00501955" w:rsidRPr="008439FF" w:rsidRDefault="00501955" w:rsidP="00501955">
      <w:pPr>
        <w:pStyle w:val="ListParagraph"/>
        <w:numPr>
          <w:ilvl w:val="0"/>
          <w:numId w:val="13"/>
        </w:numPr>
        <w:spacing w:before="240" w:after="0" w:line="240" w:lineRule="auto"/>
        <w:ind w:left="709" w:hanging="283"/>
        <w:jc w:val="both"/>
        <w:rPr>
          <w:rFonts w:ascii="Sylfaen" w:hAnsi="Sylfaen" w:cs="Sylfaen"/>
          <w:lang w:val="ka-GE"/>
        </w:rPr>
      </w:pPr>
      <w:r w:rsidRPr="008439FF">
        <w:rPr>
          <w:rFonts w:ascii="Sylfaen" w:hAnsi="Sylfaen" w:cs="Sylfaen"/>
          <w:lang w:val="ka-GE"/>
        </w:rPr>
        <w:t xml:space="preserve">„ობლიგაციები ღია ბაზრისთვის“  ძირითადი თანხის დაფარვა   - </w:t>
      </w:r>
      <w:r>
        <w:rPr>
          <w:rFonts w:ascii="Sylfaen" w:hAnsi="Sylfaen" w:cs="Sylfaen"/>
          <w:lang w:val="ka-GE"/>
        </w:rPr>
        <w:t>32,000.0</w:t>
      </w:r>
      <w:r w:rsidRPr="008439FF">
        <w:rPr>
          <w:rFonts w:ascii="Sylfaen" w:hAnsi="Sylfaen" w:cs="Sylfaen"/>
          <w:lang w:val="ka-GE"/>
        </w:rPr>
        <w:t xml:space="preserve"> ათასი ლარი;</w:t>
      </w:r>
    </w:p>
    <w:p w:rsidR="00501955" w:rsidRPr="00F269D7" w:rsidRDefault="00501955" w:rsidP="00501955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8439FF">
        <w:rPr>
          <w:rFonts w:ascii="Sylfaen" w:hAnsi="Sylfaen" w:cs="Sylfaen"/>
          <w:lang w:val="ka-GE"/>
        </w:rPr>
        <w:t xml:space="preserve">„ობლიგაციები ღია ბაზრისთვის“ </w:t>
      </w:r>
      <w:r w:rsidRPr="00F269D7">
        <w:rPr>
          <w:rFonts w:ascii="Sylfaen" w:hAnsi="Sylfaen" w:cs="Sylfaen"/>
          <w:lang w:val="ka-GE"/>
        </w:rPr>
        <w:t xml:space="preserve">მომსახურება - </w:t>
      </w:r>
      <w:r>
        <w:rPr>
          <w:rFonts w:ascii="Sylfaen" w:hAnsi="Sylfaen" w:cs="Sylfaen"/>
          <w:lang w:val="ka-GE"/>
        </w:rPr>
        <w:t xml:space="preserve">10,400.0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501955" w:rsidRPr="00F269D7" w:rsidRDefault="00501955" w:rsidP="00501955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>„ობლიგაცი</w:t>
      </w:r>
      <w:r>
        <w:rPr>
          <w:rFonts w:ascii="Sylfaen" w:hAnsi="Sylfaen" w:cs="Sylfaen"/>
          <w:lang w:val="ka-GE"/>
        </w:rPr>
        <w:t>ა</w:t>
      </w:r>
      <w:r w:rsidRPr="00F269D7">
        <w:rPr>
          <w:rFonts w:ascii="Sylfaen" w:hAnsi="Sylfaen" w:cs="Sylfaen"/>
          <w:lang w:val="ka-GE"/>
        </w:rPr>
        <w:t xml:space="preserve"> სებ-ისთვის“ მომსახურება - </w:t>
      </w:r>
      <w:r>
        <w:rPr>
          <w:rFonts w:ascii="Sylfaen" w:hAnsi="Sylfaen" w:cs="Sylfaen"/>
          <w:lang w:val="ka-GE"/>
        </w:rPr>
        <w:t xml:space="preserve">10,844.7 </w:t>
      </w:r>
      <w:r w:rsidRPr="00F269D7">
        <w:rPr>
          <w:rFonts w:ascii="Sylfaen" w:hAnsi="Sylfaen" w:cs="Sylfaen"/>
          <w:lang w:val="ka-GE"/>
        </w:rPr>
        <w:t>ათასი ლარი;</w:t>
      </w:r>
    </w:p>
    <w:p w:rsidR="00501955" w:rsidRPr="00F269D7" w:rsidRDefault="00501955" w:rsidP="00501955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ვალდებულებების მომსახურება  -  </w:t>
      </w:r>
      <w:r>
        <w:rPr>
          <w:rFonts w:ascii="Sylfaen" w:hAnsi="Sylfaen" w:cs="Sylfaen"/>
          <w:lang w:val="ka-GE"/>
        </w:rPr>
        <w:t xml:space="preserve">46,533.5 </w:t>
      </w:r>
      <w:r w:rsidRPr="00F269D7">
        <w:rPr>
          <w:rFonts w:ascii="Sylfaen" w:hAnsi="Sylfaen" w:cs="Sylfaen"/>
          <w:lang w:val="ka-GE"/>
        </w:rPr>
        <w:t>ათასი  ლარი;</w:t>
      </w:r>
    </w:p>
    <w:p w:rsidR="00501955" w:rsidRPr="00F269D7" w:rsidRDefault="00501955" w:rsidP="00501955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hAnsi="Sylfaen" w:cs="Sylfaen"/>
          <w:lang w:val="ka-GE"/>
        </w:rPr>
      </w:pPr>
      <w:r w:rsidRPr="00F269D7">
        <w:rPr>
          <w:rFonts w:ascii="Sylfaen" w:hAnsi="Sylfaen" w:cs="Sylfaen"/>
          <w:lang w:val="ka-GE"/>
        </w:rPr>
        <w:t xml:space="preserve">სახაზინო ობლიგაციების მომსახურება  </w:t>
      </w:r>
      <w:r>
        <w:rPr>
          <w:rFonts w:ascii="Sylfaen" w:hAnsi="Sylfaen" w:cs="Sylfaen"/>
        </w:rPr>
        <w:t xml:space="preserve">- </w:t>
      </w:r>
      <w:r>
        <w:rPr>
          <w:rFonts w:ascii="Sylfaen" w:hAnsi="Sylfaen" w:cs="Sylfaen"/>
          <w:lang w:val="ka-GE"/>
        </w:rPr>
        <w:t xml:space="preserve">313,490.6 </w:t>
      </w:r>
      <w:r w:rsidRPr="00F269D7">
        <w:rPr>
          <w:rFonts w:ascii="Sylfaen" w:hAnsi="Sylfaen" w:cs="Sylfaen"/>
          <w:lang w:val="ka-GE"/>
        </w:rPr>
        <w:t>ათასი  ლარი.</w:t>
      </w:r>
    </w:p>
    <w:p w:rsidR="005D31E4" w:rsidRDefault="005D31E4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AF462C" w:rsidRDefault="00AF462C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br w:type="page"/>
      </w:r>
    </w:p>
    <w:p w:rsidR="00F6697A" w:rsidRDefault="0075480C" w:rsidP="008D7692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3430DD">
        <w:rPr>
          <w:rFonts w:ascii="Sylfaen" w:hAnsi="Sylfaen"/>
          <w:b/>
          <w:lang w:val="ka-GE"/>
        </w:rPr>
        <w:lastRenderedPageBreak/>
        <w:t>მთავრობის</w:t>
      </w:r>
      <w:r w:rsidR="000340AB" w:rsidRPr="003430DD">
        <w:rPr>
          <w:rFonts w:ascii="Sylfaen" w:hAnsi="Sylfaen"/>
          <w:b/>
          <w:lang w:val="ka-GE"/>
        </w:rPr>
        <w:t xml:space="preserve"> ვალის </w:t>
      </w:r>
      <w:r w:rsidR="0032795B" w:rsidRPr="003430DD">
        <w:rPr>
          <w:rFonts w:ascii="Sylfaen" w:hAnsi="Sylfaen"/>
          <w:b/>
          <w:lang w:val="ka-GE"/>
        </w:rPr>
        <w:t xml:space="preserve">ნაშთი </w:t>
      </w:r>
      <w:r w:rsidR="00B4541C" w:rsidRPr="003430DD">
        <w:rPr>
          <w:rFonts w:ascii="Sylfaen" w:hAnsi="Sylfaen"/>
          <w:b/>
          <w:lang w:val="ka-GE"/>
        </w:rPr>
        <w:t>202</w:t>
      </w:r>
      <w:r w:rsidR="005D31E4">
        <w:rPr>
          <w:rFonts w:ascii="Sylfaen" w:hAnsi="Sylfaen"/>
          <w:b/>
          <w:lang w:val="ka-GE"/>
        </w:rPr>
        <w:t>1</w:t>
      </w:r>
      <w:r w:rsidR="001A397F" w:rsidRPr="003430DD">
        <w:rPr>
          <w:rFonts w:ascii="Sylfaen" w:hAnsi="Sylfaen"/>
          <w:b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 xml:space="preserve">წლის </w:t>
      </w:r>
      <w:r w:rsidR="003D7FE1">
        <w:rPr>
          <w:rFonts w:ascii="Sylfaen" w:hAnsi="Sylfaen"/>
          <w:b/>
          <w:lang w:val="ka-GE"/>
        </w:rPr>
        <w:t>30</w:t>
      </w:r>
      <w:r w:rsidR="00FA187E" w:rsidRPr="003430DD">
        <w:rPr>
          <w:rFonts w:ascii="Sylfaen" w:hAnsi="Sylfaen"/>
          <w:b/>
          <w:lang w:val="ka-GE"/>
        </w:rPr>
        <w:t xml:space="preserve"> </w:t>
      </w:r>
      <w:r w:rsidR="00501955">
        <w:rPr>
          <w:rFonts w:ascii="Sylfaen" w:hAnsi="Sylfaen" w:cs="Sylfaen"/>
          <w:b/>
          <w:szCs w:val="21"/>
          <w:shd w:val="clear" w:color="auto" w:fill="FFFFFF"/>
          <w:lang w:val="ka-GE"/>
        </w:rPr>
        <w:t>სექტემბრის</w:t>
      </w:r>
      <w:r w:rsidR="005043A4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340AB" w:rsidRPr="003430DD">
        <w:rPr>
          <w:rFonts w:ascii="Sylfaen" w:hAnsi="Sylfaen"/>
          <w:b/>
          <w:lang w:val="ka-GE"/>
        </w:rPr>
        <w:t>მდგომარეობით</w:t>
      </w:r>
    </w:p>
    <w:p w:rsidR="005D31E4" w:rsidRPr="005D31E4" w:rsidRDefault="005D31E4" w:rsidP="008D7692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sz w:val="16"/>
          <w:szCs w:val="16"/>
        </w:rPr>
      </w:pPr>
    </w:p>
    <w:p w:rsidR="00FB7087" w:rsidRPr="00AD59D0" w:rsidRDefault="00AD59D0" w:rsidP="00F27488">
      <w:pPr>
        <w:spacing w:after="0" w:line="240" w:lineRule="auto"/>
        <w:jc w:val="both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AD59D0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F27488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</w:t>
      </w:r>
      <w:r w:rsidR="004150CD" w:rsidRPr="00AD59D0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942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20"/>
        <w:gridCol w:w="1900"/>
      </w:tblGrid>
      <w:tr w:rsidR="00AF462C" w:rsidRPr="00AF462C" w:rsidTr="001821A1">
        <w:trPr>
          <w:trHeight w:val="599"/>
          <w:tblHeader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  <w:t xml:space="preserve">კრედიტორი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AF462C" w:rsidRPr="00AF462C" w:rsidRDefault="00AF462C" w:rsidP="00E257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ნაშთი 30.09.2021</w:t>
            </w:r>
            <w:r w:rsidRPr="00AF46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br/>
              <w:t xml:space="preserve">მდგომარეობით   </w:t>
            </w:r>
          </w:p>
        </w:tc>
      </w:tr>
      <w:tr w:rsidR="00AF462C" w:rsidRPr="00AF462C" w:rsidTr="001821A1">
        <w:trPr>
          <w:trHeight w:val="570"/>
          <w:jc w:val="center"/>
        </w:trPr>
        <w:tc>
          <w:tcPr>
            <w:tcW w:w="7520" w:type="dxa"/>
            <w:shd w:val="clear" w:color="000000" w:fill="D9E1F2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  <w:t>მთავრობის საგარეო ვალის ნაშთი</w:t>
            </w:r>
          </w:p>
        </w:tc>
        <w:tc>
          <w:tcPr>
            <w:tcW w:w="1900" w:type="dxa"/>
            <w:shd w:val="clear" w:color="000000" w:fill="D9E1F2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  <w:t>23,423,504.6</w:t>
            </w:r>
          </w:p>
        </w:tc>
      </w:tr>
      <w:tr w:rsidR="00AF462C" w:rsidRPr="00AF462C" w:rsidTr="001821A1">
        <w:trPr>
          <w:trHeight w:val="315"/>
          <w:jc w:val="center"/>
        </w:trPr>
        <w:tc>
          <w:tcPr>
            <w:tcW w:w="7520" w:type="dxa"/>
            <w:shd w:val="clear" w:color="000000" w:fill="E2EFDA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მრავალმხრივი კრედიტორებისაგან</w:t>
            </w:r>
          </w:p>
        </w:tc>
        <w:tc>
          <w:tcPr>
            <w:tcW w:w="1900" w:type="dxa"/>
            <w:shd w:val="clear" w:color="000000" w:fill="E2EFDA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17,002,403.2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მსოფლიო ბანკი  (WB)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6,351,603.2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118,075.8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საერთაშორისო სავალუტო ფონდი (IMF)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646,744.7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738,750.3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აზიის განვითარების ბანკი (ADB)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5,409,135.2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ევროპის საინვესტიციო ბანკი  (EIB)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2,642,050.5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ევროკავშირი (EU)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484,239.7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595,158.3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ევროსაბჭოს განვითარების ბანკი (CEB)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9,802.2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6,843.3</w:t>
            </w:r>
          </w:p>
        </w:tc>
      </w:tr>
      <w:tr w:rsidR="00AF462C" w:rsidRPr="00AF462C" w:rsidTr="001821A1">
        <w:trPr>
          <w:trHeight w:val="315"/>
          <w:jc w:val="center"/>
        </w:trPr>
        <w:tc>
          <w:tcPr>
            <w:tcW w:w="7520" w:type="dxa"/>
            <w:shd w:val="clear" w:color="000000" w:fill="E2EFDA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ორმხრივი კრედიტორებისაგან</w:t>
            </w:r>
          </w:p>
        </w:tc>
        <w:tc>
          <w:tcPr>
            <w:tcW w:w="1900" w:type="dxa"/>
            <w:shd w:val="clear" w:color="000000" w:fill="E2EFDA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4,854,880.0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ავსტრია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54,809.0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აზერბაიჯანი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13,740.1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თურქმენეთი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659.1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თურქეთი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26,634.2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ირანი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10,196.1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რუსეთი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98,586.3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სომხეთი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13,145.6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უზბეკეთი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82.5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უკრაინა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75.3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ყაზახეთი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16,781.0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ჩინეთი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1,449.0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2,205,049.9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იაპონია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612,881.0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კუვეიტი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30,349.6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ნიდერლანდები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713.8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ამერიკა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45,940.8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საფრანგეთი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1,723,786.5</w:t>
            </w:r>
          </w:p>
        </w:tc>
      </w:tr>
      <w:tr w:rsidR="00AF462C" w:rsidRPr="00AF462C" w:rsidTr="001821A1">
        <w:trPr>
          <w:trHeight w:val="315"/>
          <w:jc w:val="center"/>
        </w:trPr>
        <w:tc>
          <w:tcPr>
            <w:tcW w:w="7520" w:type="dxa"/>
            <w:shd w:val="clear" w:color="000000" w:fill="E2EFDA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სხვა საგარეო ვალდებულებები</w:t>
            </w:r>
          </w:p>
        </w:tc>
        <w:tc>
          <w:tcPr>
            <w:tcW w:w="1900" w:type="dxa"/>
            <w:shd w:val="clear" w:color="000000" w:fill="E2EFDA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1,561,400.0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ევრობონდები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1,561,400.0</w:t>
            </w:r>
          </w:p>
        </w:tc>
      </w:tr>
      <w:tr w:rsidR="00AF462C" w:rsidRPr="00AF462C" w:rsidTr="001821A1">
        <w:trPr>
          <w:trHeight w:val="315"/>
          <w:jc w:val="center"/>
        </w:trPr>
        <w:tc>
          <w:tcPr>
            <w:tcW w:w="7520" w:type="dxa"/>
            <w:shd w:val="clear" w:color="000000" w:fill="E2EFDA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სახელმწიფო გარანტიით აღებული კრედიტები</w:t>
            </w:r>
          </w:p>
        </w:tc>
        <w:tc>
          <w:tcPr>
            <w:tcW w:w="1900" w:type="dxa"/>
            <w:shd w:val="clear" w:color="000000" w:fill="E2EFDA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4,821.4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4,821.4</w:t>
            </w:r>
          </w:p>
        </w:tc>
      </w:tr>
      <w:tr w:rsidR="00AF462C" w:rsidRPr="00AF462C" w:rsidTr="001821A1">
        <w:trPr>
          <w:trHeight w:val="315"/>
          <w:jc w:val="center"/>
        </w:trPr>
        <w:tc>
          <w:tcPr>
            <w:tcW w:w="7520" w:type="dxa"/>
            <w:shd w:val="clear" w:color="000000" w:fill="D9E1F2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  <w:t>მთავრობის საშინაო ვალის ნაშთი</w:t>
            </w:r>
          </w:p>
        </w:tc>
        <w:tc>
          <w:tcPr>
            <w:tcW w:w="1900" w:type="dxa"/>
            <w:shd w:val="clear" w:color="000000" w:fill="D9E1F2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  <w:t>5,507,083.2</w:t>
            </w:r>
          </w:p>
        </w:tc>
      </w:tr>
      <w:tr w:rsidR="00AF462C" w:rsidRPr="00AF462C" w:rsidTr="001821A1">
        <w:trPr>
          <w:trHeight w:val="51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160,846.0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160,000.0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307,068.6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4,840,405.2</w:t>
            </w:r>
          </w:p>
        </w:tc>
      </w:tr>
      <w:tr w:rsidR="00AF462C" w:rsidRPr="00AF462C" w:rsidTr="001821A1">
        <w:trPr>
          <w:trHeight w:val="300"/>
          <w:jc w:val="center"/>
        </w:trPr>
        <w:tc>
          <w:tcPr>
            <w:tcW w:w="7520" w:type="dxa"/>
            <w:shd w:val="clear" w:color="auto" w:fill="auto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საბიუჯეტო ორგანიზაციების სესხის სახით არსებულ ვალი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F462C">
              <w:rPr>
                <w:rFonts w:eastAsia="Times New Roman" w:cstheme="minorHAnsi"/>
                <w:color w:val="000000"/>
                <w:sz w:val="18"/>
                <w:szCs w:val="18"/>
              </w:rPr>
              <w:t>38,763.4</w:t>
            </w:r>
          </w:p>
        </w:tc>
      </w:tr>
      <w:tr w:rsidR="00AF462C" w:rsidRPr="00AF462C" w:rsidTr="001821A1">
        <w:trPr>
          <w:trHeight w:val="570"/>
          <w:jc w:val="center"/>
        </w:trPr>
        <w:tc>
          <w:tcPr>
            <w:tcW w:w="7520" w:type="dxa"/>
            <w:shd w:val="clear" w:color="000000" w:fill="D9E1F2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  <w:t>სულ მთავრობის ვალის ნაშთი</w:t>
            </w:r>
          </w:p>
        </w:tc>
        <w:tc>
          <w:tcPr>
            <w:tcW w:w="1900" w:type="dxa"/>
            <w:shd w:val="clear" w:color="000000" w:fill="D9E1F2"/>
            <w:vAlign w:val="center"/>
            <w:hideMark/>
          </w:tcPr>
          <w:p w:rsidR="00AF462C" w:rsidRPr="00AF462C" w:rsidRDefault="00AF462C" w:rsidP="00AF462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</w:pPr>
            <w:r w:rsidRPr="00AF462C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</w:rPr>
              <w:t>28,930,587.8</w:t>
            </w:r>
          </w:p>
        </w:tc>
      </w:tr>
    </w:tbl>
    <w:p w:rsidR="000340AB" w:rsidRPr="00AD6A17" w:rsidRDefault="00F27488" w:rsidP="002D2B26">
      <w:pPr>
        <w:spacing w:after="0" w:line="240" w:lineRule="auto"/>
        <w:rPr>
          <w:rFonts w:ascii="Sylfaen" w:hAnsi="Sylfaen" w:cs="Sylfaen"/>
          <w:i/>
          <w:sz w:val="16"/>
          <w:szCs w:val="16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br w:type="textWrapping" w:clear="all"/>
      </w:r>
      <w:r w:rsidR="000340AB" w:rsidRPr="003430DD">
        <w:rPr>
          <w:rFonts w:ascii="Sylfaen" w:hAnsi="Sylfaen" w:cs="Sylfaen"/>
          <w:i/>
          <w:sz w:val="16"/>
          <w:szCs w:val="16"/>
        </w:rPr>
        <w:t>შენიშვნა</w:t>
      </w:r>
      <w:r w:rsidR="000340AB" w:rsidRPr="003430DD">
        <w:rPr>
          <w:i/>
          <w:sz w:val="16"/>
          <w:szCs w:val="16"/>
        </w:rPr>
        <w:t xml:space="preserve">: </w:t>
      </w:r>
      <w:r w:rsidR="000340AB" w:rsidRPr="003430DD">
        <w:rPr>
          <w:rFonts w:ascii="Sylfaen" w:hAnsi="Sylfaen" w:cs="Sylfaen"/>
          <w:i/>
          <w:sz w:val="16"/>
          <w:szCs w:val="16"/>
        </w:rPr>
        <w:t>ცხრილში</w:t>
      </w:r>
      <w:r w:rsidR="000340AB" w:rsidRPr="003430DD">
        <w:rPr>
          <w:i/>
          <w:sz w:val="16"/>
          <w:szCs w:val="16"/>
        </w:rPr>
        <w:t xml:space="preserve"> </w:t>
      </w:r>
      <w:r w:rsidR="000340AB" w:rsidRPr="003430DD">
        <w:rPr>
          <w:rFonts w:ascii="Sylfaen" w:hAnsi="Sylfaen" w:cs="Sylfaen"/>
          <w:i/>
          <w:sz w:val="16"/>
          <w:szCs w:val="16"/>
        </w:rPr>
        <w:t>გამოყენებულია</w:t>
      </w:r>
      <w:r w:rsidR="000340AB" w:rsidRPr="003430DD">
        <w:rPr>
          <w:i/>
          <w:sz w:val="16"/>
          <w:szCs w:val="16"/>
        </w:rPr>
        <w:t xml:space="preserve"> </w:t>
      </w:r>
      <w:r w:rsidR="000340AB" w:rsidRPr="003430DD">
        <w:rPr>
          <w:rFonts w:ascii="Sylfaen" w:hAnsi="Sylfaen" w:cs="Sylfaen"/>
          <w:i/>
          <w:sz w:val="16"/>
          <w:szCs w:val="16"/>
        </w:rPr>
        <w:t>სავალუტო</w:t>
      </w:r>
      <w:r w:rsidR="000340AB" w:rsidRPr="003430DD">
        <w:rPr>
          <w:i/>
          <w:sz w:val="16"/>
          <w:szCs w:val="16"/>
        </w:rPr>
        <w:t xml:space="preserve"> </w:t>
      </w:r>
      <w:r w:rsidR="000340AB" w:rsidRPr="003430DD">
        <w:rPr>
          <w:rFonts w:ascii="Sylfaen" w:hAnsi="Sylfaen" w:cs="Sylfaen"/>
          <w:i/>
          <w:sz w:val="16"/>
          <w:szCs w:val="16"/>
        </w:rPr>
        <w:t>კურსები</w:t>
      </w:r>
      <w:r w:rsidR="000340AB" w:rsidRPr="003430DD">
        <w:rPr>
          <w:i/>
          <w:sz w:val="16"/>
          <w:szCs w:val="16"/>
        </w:rPr>
        <w:t xml:space="preserve"> </w:t>
      </w:r>
      <w:r w:rsidR="000340AB" w:rsidRPr="003430DD">
        <w:rPr>
          <w:rFonts w:ascii="Sylfaen" w:hAnsi="Sylfaen" w:cs="Sylfaen"/>
          <w:i/>
          <w:sz w:val="16"/>
          <w:szCs w:val="16"/>
        </w:rPr>
        <w:t>მოცემული</w:t>
      </w:r>
      <w:r w:rsidR="000340AB" w:rsidRPr="003430DD">
        <w:rPr>
          <w:i/>
          <w:sz w:val="16"/>
          <w:szCs w:val="16"/>
        </w:rPr>
        <w:t xml:space="preserve"> </w:t>
      </w:r>
      <w:r w:rsidR="000340AB" w:rsidRPr="003430DD">
        <w:rPr>
          <w:rFonts w:ascii="Sylfaen" w:hAnsi="Sylfaen" w:cs="Sylfaen"/>
          <w:i/>
          <w:sz w:val="16"/>
          <w:szCs w:val="16"/>
        </w:rPr>
        <w:t>თარიღისათვის</w:t>
      </w:r>
    </w:p>
    <w:sectPr w:rsidR="000340AB" w:rsidRPr="00AD6A17" w:rsidSect="007B32F3">
      <w:pgSz w:w="11907" w:h="16839" w:code="9"/>
      <w:pgMar w:top="426" w:right="837" w:bottom="568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46" w:rsidRDefault="00E04246" w:rsidP="00400BED">
      <w:pPr>
        <w:spacing w:after="0" w:line="240" w:lineRule="auto"/>
      </w:pPr>
      <w:r>
        <w:separator/>
      </w:r>
    </w:p>
  </w:endnote>
  <w:endnote w:type="continuationSeparator" w:id="0">
    <w:p w:rsidR="00E04246" w:rsidRDefault="00E04246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46" w:rsidRDefault="00E04246" w:rsidP="00400BED">
      <w:pPr>
        <w:spacing w:after="0" w:line="240" w:lineRule="auto"/>
      </w:pPr>
      <w:r>
        <w:separator/>
      </w:r>
    </w:p>
  </w:footnote>
  <w:footnote w:type="continuationSeparator" w:id="0">
    <w:p w:rsidR="00E04246" w:rsidRDefault="00E04246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1659"/>
    <w:rsid w:val="00012780"/>
    <w:rsid w:val="00012D7B"/>
    <w:rsid w:val="00012DFA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670"/>
    <w:rsid w:val="00086A00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5C1D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4EA9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55B2"/>
    <w:rsid w:val="0016733A"/>
    <w:rsid w:val="001673DC"/>
    <w:rsid w:val="00173BAA"/>
    <w:rsid w:val="001757D3"/>
    <w:rsid w:val="001763B0"/>
    <w:rsid w:val="001763FC"/>
    <w:rsid w:val="001779D6"/>
    <w:rsid w:val="00181ECC"/>
    <w:rsid w:val="001821A1"/>
    <w:rsid w:val="00182832"/>
    <w:rsid w:val="00187C1C"/>
    <w:rsid w:val="00190A72"/>
    <w:rsid w:val="00193364"/>
    <w:rsid w:val="00193C76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2B26"/>
    <w:rsid w:val="002D6813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4AAF"/>
    <w:rsid w:val="00347FB5"/>
    <w:rsid w:val="00352E0D"/>
    <w:rsid w:val="0035676A"/>
    <w:rsid w:val="00361037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3058"/>
    <w:rsid w:val="00393AC5"/>
    <w:rsid w:val="00395CE1"/>
    <w:rsid w:val="003967C1"/>
    <w:rsid w:val="00396821"/>
    <w:rsid w:val="00397075"/>
    <w:rsid w:val="003A0B26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1ADF"/>
    <w:rsid w:val="004324BD"/>
    <w:rsid w:val="00434625"/>
    <w:rsid w:val="004370D0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3196"/>
    <w:rsid w:val="004A3DB0"/>
    <w:rsid w:val="004B1263"/>
    <w:rsid w:val="004B29BC"/>
    <w:rsid w:val="004B46E8"/>
    <w:rsid w:val="004C0704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5AB2"/>
    <w:rsid w:val="0050185A"/>
    <w:rsid w:val="00501955"/>
    <w:rsid w:val="00501E22"/>
    <w:rsid w:val="00503393"/>
    <w:rsid w:val="005043A4"/>
    <w:rsid w:val="00510802"/>
    <w:rsid w:val="005131CE"/>
    <w:rsid w:val="005134D5"/>
    <w:rsid w:val="00515451"/>
    <w:rsid w:val="005165EB"/>
    <w:rsid w:val="00523560"/>
    <w:rsid w:val="00525C65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0452"/>
    <w:rsid w:val="0056160F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25B8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D31E4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3FA8"/>
    <w:rsid w:val="005F6B8A"/>
    <w:rsid w:val="00600923"/>
    <w:rsid w:val="00603BE0"/>
    <w:rsid w:val="006042C4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1B34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593"/>
    <w:rsid w:val="006A47A2"/>
    <w:rsid w:val="006A7D49"/>
    <w:rsid w:val="006B1B1E"/>
    <w:rsid w:val="006B398B"/>
    <w:rsid w:val="006B3FC1"/>
    <w:rsid w:val="006B56B0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1CE6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447C"/>
    <w:rsid w:val="0072498D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480C"/>
    <w:rsid w:val="00756EE2"/>
    <w:rsid w:val="00760891"/>
    <w:rsid w:val="007638B2"/>
    <w:rsid w:val="00764192"/>
    <w:rsid w:val="007643C1"/>
    <w:rsid w:val="00771909"/>
    <w:rsid w:val="007720D8"/>
    <w:rsid w:val="0077274B"/>
    <w:rsid w:val="00776354"/>
    <w:rsid w:val="00777C2F"/>
    <w:rsid w:val="00780B7F"/>
    <w:rsid w:val="00784855"/>
    <w:rsid w:val="0078542F"/>
    <w:rsid w:val="00786EA2"/>
    <w:rsid w:val="00787C46"/>
    <w:rsid w:val="00790043"/>
    <w:rsid w:val="00797BDC"/>
    <w:rsid w:val="007A0D67"/>
    <w:rsid w:val="007A32FD"/>
    <w:rsid w:val="007A4F50"/>
    <w:rsid w:val="007A5E4F"/>
    <w:rsid w:val="007B32F3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64DE"/>
    <w:rsid w:val="00860E2B"/>
    <w:rsid w:val="00861F1F"/>
    <w:rsid w:val="00862004"/>
    <w:rsid w:val="00863F99"/>
    <w:rsid w:val="00864429"/>
    <w:rsid w:val="00864A00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B7D"/>
    <w:rsid w:val="008A7DED"/>
    <w:rsid w:val="008B14CF"/>
    <w:rsid w:val="008B2C36"/>
    <w:rsid w:val="008B34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772B"/>
    <w:rsid w:val="008F0B91"/>
    <w:rsid w:val="00903ED6"/>
    <w:rsid w:val="00905BCC"/>
    <w:rsid w:val="00907532"/>
    <w:rsid w:val="009139F2"/>
    <w:rsid w:val="00914D8C"/>
    <w:rsid w:val="00914EEA"/>
    <w:rsid w:val="0091662B"/>
    <w:rsid w:val="009274F9"/>
    <w:rsid w:val="00927EE7"/>
    <w:rsid w:val="00930DB7"/>
    <w:rsid w:val="009330E5"/>
    <w:rsid w:val="009335FA"/>
    <w:rsid w:val="00935F0A"/>
    <w:rsid w:val="009363B9"/>
    <w:rsid w:val="00941504"/>
    <w:rsid w:val="009453D8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115B"/>
    <w:rsid w:val="009816B7"/>
    <w:rsid w:val="00982850"/>
    <w:rsid w:val="00982E29"/>
    <w:rsid w:val="00986AAF"/>
    <w:rsid w:val="009917B8"/>
    <w:rsid w:val="00991B14"/>
    <w:rsid w:val="009925D7"/>
    <w:rsid w:val="00993049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11AE"/>
    <w:rsid w:val="00A45EB8"/>
    <w:rsid w:val="00A50002"/>
    <w:rsid w:val="00A5293F"/>
    <w:rsid w:val="00A56E3B"/>
    <w:rsid w:val="00A57273"/>
    <w:rsid w:val="00A6278E"/>
    <w:rsid w:val="00A63967"/>
    <w:rsid w:val="00A67F51"/>
    <w:rsid w:val="00A72A1F"/>
    <w:rsid w:val="00A72FFA"/>
    <w:rsid w:val="00A74699"/>
    <w:rsid w:val="00A751B7"/>
    <w:rsid w:val="00A761DC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EAA"/>
    <w:rsid w:val="00B30876"/>
    <w:rsid w:val="00B3130D"/>
    <w:rsid w:val="00B32432"/>
    <w:rsid w:val="00B33856"/>
    <w:rsid w:val="00B3761D"/>
    <w:rsid w:val="00B42ECF"/>
    <w:rsid w:val="00B44750"/>
    <w:rsid w:val="00B44900"/>
    <w:rsid w:val="00B4541C"/>
    <w:rsid w:val="00B460EB"/>
    <w:rsid w:val="00B464DF"/>
    <w:rsid w:val="00B502E6"/>
    <w:rsid w:val="00B5085B"/>
    <w:rsid w:val="00B55FD3"/>
    <w:rsid w:val="00B57E95"/>
    <w:rsid w:val="00B60154"/>
    <w:rsid w:val="00B61F3B"/>
    <w:rsid w:val="00B64DB8"/>
    <w:rsid w:val="00B659A0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6094"/>
    <w:rsid w:val="00BA64A2"/>
    <w:rsid w:val="00BB4019"/>
    <w:rsid w:val="00BC132A"/>
    <w:rsid w:val="00BC168E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80BCF"/>
    <w:rsid w:val="00C81C7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57F7"/>
    <w:rsid w:val="00CB6749"/>
    <w:rsid w:val="00CC1535"/>
    <w:rsid w:val="00CC179A"/>
    <w:rsid w:val="00CC46C4"/>
    <w:rsid w:val="00CC61C6"/>
    <w:rsid w:val="00CC6C0E"/>
    <w:rsid w:val="00CC7FBE"/>
    <w:rsid w:val="00CD1557"/>
    <w:rsid w:val="00CD2440"/>
    <w:rsid w:val="00CD352C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9D"/>
    <w:rsid w:val="00D04E46"/>
    <w:rsid w:val="00D05684"/>
    <w:rsid w:val="00D059C8"/>
    <w:rsid w:val="00D10101"/>
    <w:rsid w:val="00D1142C"/>
    <w:rsid w:val="00D12397"/>
    <w:rsid w:val="00D14B9A"/>
    <w:rsid w:val="00D207EF"/>
    <w:rsid w:val="00D20BFD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5A3D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24F5"/>
    <w:rsid w:val="00DC3604"/>
    <w:rsid w:val="00DD2856"/>
    <w:rsid w:val="00DD449D"/>
    <w:rsid w:val="00DD69EE"/>
    <w:rsid w:val="00DE18E6"/>
    <w:rsid w:val="00DE4001"/>
    <w:rsid w:val="00DE5A88"/>
    <w:rsid w:val="00DE5E51"/>
    <w:rsid w:val="00DE64A1"/>
    <w:rsid w:val="00DF0EE9"/>
    <w:rsid w:val="00DF3A55"/>
    <w:rsid w:val="00DF4B86"/>
    <w:rsid w:val="00DF5D2F"/>
    <w:rsid w:val="00E014B2"/>
    <w:rsid w:val="00E01ADA"/>
    <w:rsid w:val="00E01BC8"/>
    <w:rsid w:val="00E02C4C"/>
    <w:rsid w:val="00E04246"/>
    <w:rsid w:val="00E07907"/>
    <w:rsid w:val="00E079D4"/>
    <w:rsid w:val="00E11336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5BB0"/>
    <w:rsid w:val="00E3693C"/>
    <w:rsid w:val="00E36B7F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57B0"/>
    <w:rsid w:val="00E9045D"/>
    <w:rsid w:val="00E97A98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2F14"/>
    <w:rsid w:val="00EC511D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4160"/>
    <w:rsid w:val="00EE7EB6"/>
    <w:rsid w:val="00EF46D7"/>
    <w:rsid w:val="00EF6AB2"/>
    <w:rsid w:val="00F003A7"/>
    <w:rsid w:val="00F01A27"/>
    <w:rsid w:val="00F07891"/>
    <w:rsid w:val="00F07AE6"/>
    <w:rsid w:val="00F106FA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19%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59%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50%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800" b="0">
                <a:solidFill>
                  <a:sysClr val="windowText" lastClr="000000"/>
                </a:solidFill>
              </a:defRPr>
            </a:pPr>
            <a:r>
              <a:rPr lang="ka-GE" sz="800" b="0">
                <a:solidFill>
                  <a:sysClr val="windowText" lastClr="000000"/>
                </a:solidFill>
              </a:rPr>
              <a:t>საპროცენტო განაკვეთის ტიპი</a:t>
            </a:r>
            <a:endParaRPr lang="en-US" sz="800" b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294F-33F2-48A1-A2C1-E7D80894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16</cp:revision>
  <cp:lastPrinted>2021-10-26T12:35:00Z</cp:lastPrinted>
  <dcterms:created xsi:type="dcterms:W3CDTF">2021-07-21T09:00:00Z</dcterms:created>
  <dcterms:modified xsi:type="dcterms:W3CDTF">2021-10-26T12:38:00Z</dcterms:modified>
</cp:coreProperties>
</file>